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94AE" w14:textId="77777777" w:rsidR="00A90BD0" w:rsidRPr="00C849F6" w:rsidRDefault="00A90BD0" w:rsidP="001E32C5">
      <w:pPr>
        <w:jc w:val="both"/>
        <w:rPr>
          <w:b/>
          <w:bCs/>
        </w:rPr>
      </w:pPr>
    </w:p>
    <w:p w14:paraId="5E74A509" w14:textId="04E2BAFF" w:rsidR="0052302E" w:rsidRPr="00C849F6" w:rsidRDefault="00E013E1" w:rsidP="002214C9">
      <w:pPr>
        <w:spacing w:after="200" w:line="276" w:lineRule="auto"/>
        <w:rPr>
          <w:b/>
          <w:bCs/>
          <w:sz w:val="28"/>
          <w:szCs w:val="28"/>
        </w:rPr>
      </w:pPr>
      <w:r w:rsidRPr="00C849F6">
        <w:rPr>
          <w:b/>
          <w:bCs/>
          <w:sz w:val="28"/>
          <w:szCs w:val="28"/>
        </w:rPr>
        <w:t>Cierre del círculo del aluminio: Tom Eng</w:t>
      </w:r>
      <w:r w:rsidR="003A75FD">
        <w:rPr>
          <w:b/>
          <w:bCs/>
          <w:sz w:val="28"/>
          <w:szCs w:val="28"/>
        </w:rPr>
        <w:t>, Director</w:t>
      </w:r>
      <w:r w:rsidRPr="00C849F6">
        <w:rPr>
          <w:b/>
          <w:bCs/>
          <w:sz w:val="28"/>
          <w:szCs w:val="28"/>
        </w:rPr>
        <w:t xml:space="preserve"> </w:t>
      </w:r>
      <w:r w:rsidR="00B27EB4">
        <w:rPr>
          <w:b/>
          <w:bCs/>
          <w:sz w:val="28"/>
          <w:szCs w:val="28"/>
        </w:rPr>
        <w:t xml:space="preserve">General </w:t>
      </w:r>
      <w:r w:rsidRPr="00C849F6">
        <w:rPr>
          <w:b/>
          <w:bCs/>
          <w:sz w:val="28"/>
          <w:szCs w:val="28"/>
        </w:rPr>
        <w:t xml:space="preserve">de TOMRA Recycling en </w:t>
      </w:r>
      <w:r w:rsidR="00B27EB4">
        <w:rPr>
          <w:b/>
          <w:bCs/>
          <w:sz w:val="28"/>
          <w:szCs w:val="28"/>
        </w:rPr>
        <w:t xml:space="preserve">la Convención del </w:t>
      </w:r>
      <w:r w:rsidRPr="00C849F6">
        <w:rPr>
          <w:b/>
          <w:bCs/>
          <w:sz w:val="28"/>
          <w:szCs w:val="28"/>
        </w:rPr>
        <w:t>BIR</w:t>
      </w:r>
      <w:r w:rsidR="00FD2FEB">
        <w:rPr>
          <w:b/>
          <w:bCs/>
          <w:sz w:val="28"/>
          <w:szCs w:val="28"/>
        </w:rPr>
        <w:t>.</w:t>
      </w:r>
      <w:r w:rsidR="002762BE" w:rsidRPr="00C849F6">
        <w:rPr>
          <w:b/>
          <w:bCs/>
          <w:sz w:val="28"/>
          <w:szCs w:val="28"/>
        </w:rPr>
        <w:t xml:space="preserve"> </w:t>
      </w:r>
    </w:p>
    <w:p w14:paraId="717A4A9F" w14:textId="7BF0B2A5" w:rsidR="009941A6" w:rsidRPr="00C849F6" w:rsidRDefault="009941A6" w:rsidP="002214C9">
      <w:pPr>
        <w:spacing w:after="200" w:line="276" w:lineRule="auto"/>
        <w:rPr>
          <w:i/>
          <w:iCs/>
        </w:rPr>
      </w:pPr>
      <w:r w:rsidRPr="00C849F6">
        <w:rPr>
          <w:i/>
          <w:iCs/>
        </w:rPr>
        <w:t xml:space="preserve">Tom Eng, Vicepresidente ejecutivo y Director </w:t>
      </w:r>
      <w:r w:rsidR="00B27EB4">
        <w:rPr>
          <w:i/>
          <w:iCs/>
        </w:rPr>
        <w:t xml:space="preserve">General </w:t>
      </w:r>
      <w:r w:rsidRPr="00C849F6">
        <w:rPr>
          <w:i/>
          <w:iCs/>
        </w:rPr>
        <w:t>de TOMRA Recycling, ha realizado una presentación titulada "Cierre del círculo del aluminio: retos y oportunidades" en</w:t>
      </w:r>
      <w:r w:rsidR="003A75FD">
        <w:rPr>
          <w:i/>
          <w:iCs/>
        </w:rPr>
        <w:t xml:space="preserve"> el</w:t>
      </w:r>
      <w:r w:rsidRPr="00C849F6">
        <w:rPr>
          <w:i/>
          <w:iCs/>
        </w:rPr>
        <w:t xml:space="preserve"> BIR World Recycling Convention and Exhibition que se celebró en Barcelona el </w:t>
      </w:r>
      <w:r w:rsidR="00EB66F4">
        <w:rPr>
          <w:i/>
          <w:iCs/>
        </w:rPr>
        <w:t>pasado</w:t>
      </w:r>
      <w:r w:rsidRPr="00C849F6">
        <w:rPr>
          <w:i/>
          <w:iCs/>
        </w:rPr>
        <w:t xml:space="preserve"> 23 de mayo</w:t>
      </w:r>
      <w:r w:rsidR="00EB66F4">
        <w:rPr>
          <w:i/>
          <w:iCs/>
        </w:rPr>
        <w:t>. Más de 1.200 participantes pudieron escuchar cómo</w:t>
      </w:r>
      <w:r w:rsidR="003A75FD">
        <w:rPr>
          <w:i/>
          <w:iCs/>
        </w:rPr>
        <w:t xml:space="preserve"> </w:t>
      </w:r>
      <w:r w:rsidRPr="00C849F6">
        <w:rPr>
          <w:i/>
          <w:iCs/>
        </w:rPr>
        <w:t>Tom Eng subray</w:t>
      </w:r>
      <w:r w:rsidR="00EB66F4">
        <w:rPr>
          <w:i/>
          <w:iCs/>
        </w:rPr>
        <w:t>ó</w:t>
      </w:r>
      <w:r w:rsidRPr="00C849F6">
        <w:rPr>
          <w:i/>
          <w:iCs/>
        </w:rPr>
        <w:t xml:space="preserve"> la necesidad de fomentar la circularidad del aluminio y </w:t>
      </w:r>
      <w:r w:rsidR="00EB66F4">
        <w:rPr>
          <w:i/>
          <w:iCs/>
        </w:rPr>
        <w:t>que resulta</w:t>
      </w:r>
      <w:r w:rsidRPr="00C849F6">
        <w:rPr>
          <w:i/>
          <w:iCs/>
        </w:rPr>
        <w:t xml:space="preserve"> factible conseguirlo.</w:t>
      </w:r>
    </w:p>
    <w:p w14:paraId="28257C20" w14:textId="5CCBF306" w:rsidR="00F537AD" w:rsidRPr="00C849F6" w:rsidRDefault="003A75FD" w:rsidP="002214C9">
      <w:pPr>
        <w:spacing w:after="200" w:line="276" w:lineRule="auto"/>
      </w:pPr>
      <w:r>
        <w:t>En</w:t>
      </w:r>
      <w:r w:rsidRPr="00C849F6">
        <w:t xml:space="preserve"> las últimas décadas </w:t>
      </w:r>
      <w:r>
        <w:t>l</w:t>
      </w:r>
      <w:r w:rsidR="00503ACC" w:rsidRPr="00C849F6">
        <w:t xml:space="preserve">a reducción de emisiones de carbono y la optimización de la gestión de recursos han sido protagonistas del sector del reciclaje </w:t>
      </w:r>
      <w:r w:rsidR="00176177" w:rsidRPr="00C849F6">
        <w:t>en la</w:t>
      </w:r>
      <w:r w:rsidR="00503ACC" w:rsidRPr="00C849F6">
        <w:t xml:space="preserve"> lucha contra el cambio climático. El aluminio desempeña un papel fundamental en la transición hacia una economía circular</w:t>
      </w:r>
      <w:r>
        <w:t xml:space="preserve"> y en esta edición de</w:t>
      </w:r>
      <w:r w:rsidR="00B27EB4">
        <w:t xml:space="preserve"> </w:t>
      </w:r>
      <w:r>
        <w:t>l</w:t>
      </w:r>
      <w:r w:rsidR="00B27EB4">
        <w:t>a Convención del</w:t>
      </w:r>
      <w:r>
        <w:t xml:space="preserve"> </w:t>
      </w:r>
      <w:r w:rsidR="00503ACC" w:rsidRPr="00C849F6">
        <w:t>BIR</w:t>
      </w:r>
      <w:r>
        <w:t>, celebrad</w:t>
      </w:r>
      <w:r w:rsidR="00B27EB4">
        <w:t>a</w:t>
      </w:r>
      <w:r w:rsidR="00503ACC" w:rsidRPr="00C849F6">
        <w:t xml:space="preserve"> </w:t>
      </w:r>
      <w:r>
        <w:t xml:space="preserve">en </w:t>
      </w:r>
      <w:r w:rsidR="00503ACC" w:rsidRPr="00C849F6">
        <w:t>Barcelona</w:t>
      </w:r>
      <w:r>
        <w:t xml:space="preserve"> el pasado</w:t>
      </w:r>
      <w:r w:rsidR="00503ACC" w:rsidRPr="00C849F6">
        <w:t xml:space="preserve"> 23 de mayo, Tom Eng </w:t>
      </w:r>
      <w:r>
        <w:t xml:space="preserve">explicó en detalle la situación en la que nos encontramos y los beneficios </w:t>
      </w:r>
      <w:r w:rsidR="00503ACC" w:rsidRPr="00C849F6">
        <w:t xml:space="preserve">del sistema de clasificación de la compañía. </w:t>
      </w:r>
    </w:p>
    <w:p w14:paraId="77D358DF" w14:textId="77777777" w:rsidR="00576CA9" w:rsidRDefault="003A75FD" w:rsidP="002214C9">
      <w:pPr>
        <w:spacing w:after="200" w:line="276" w:lineRule="auto"/>
      </w:pPr>
      <w:r>
        <w:t>Tom Eng i</w:t>
      </w:r>
      <w:r w:rsidR="00F537AD" w:rsidRPr="00C849F6">
        <w:t xml:space="preserve">nició su exposición </w:t>
      </w:r>
      <w:r>
        <w:t>haciendo un repaso a</w:t>
      </w:r>
      <w:r w:rsidR="00F537AD" w:rsidRPr="00C849F6">
        <w:t xml:space="preserve"> la legislación vigente y exponiendo cómo sus ambiciosos objetivos apoyan el desarrollo de una economía circular. A nivel europeo, el </w:t>
      </w:r>
      <w:r w:rsidR="00576CA9">
        <w:t>Pacto</w:t>
      </w:r>
      <w:r w:rsidR="00F537AD" w:rsidRPr="00C849F6">
        <w:t xml:space="preserve"> </w:t>
      </w:r>
      <w:r>
        <w:t>V</w:t>
      </w:r>
      <w:r w:rsidR="00F537AD" w:rsidRPr="00C849F6">
        <w:t xml:space="preserve">erde es uno de los motores más importantes de mejora de la gestión de residuos y la descarbonización de la producción de aluminio </w:t>
      </w:r>
      <w:r w:rsidR="00576CA9">
        <w:t>para</w:t>
      </w:r>
      <w:r w:rsidR="00F537AD" w:rsidRPr="00C849F6">
        <w:t xml:space="preserve"> maximiza</w:t>
      </w:r>
      <w:r w:rsidR="00576CA9">
        <w:t>r</w:t>
      </w:r>
      <w:r w:rsidR="00F537AD" w:rsidRPr="00C849F6">
        <w:t xml:space="preserve"> la recuperación y el reciclaje de recursos.</w:t>
      </w:r>
    </w:p>
    <w:p w14:paraId="3486FD9A" w14:textId="3FF27C72" w:rsidR="00840052" w:rsidRPr="00C849F6" w:rsidRDefault="00F537AD" w:rsidP="002214C9">
      <w:pPr>
        <w:spacing w:after="200" w:line="276" w:lineRule="auto"/>
      </w:pPr>
      <w:r w:rsidRPr="00C849F6">
        <w:t xml:space="preserve">"Necesitamos una legislación que impulse el cambio, incentive el reciclaje y convierta la chatarra en material reciclado de calidad. Los residuos son el futuro de la circularidad. ¿Por qué no los </w:t>
      </w:r>
      <w:r w:rsidR="00033EE9">
        <w:t xml:space="preserve">usamos para </w:t>
      </w:r>
      <w:r w:rsidRPr="00C849F6">
        <w:t>nuevas posibilidades?", propuso Eng.</w:t>
      </w:r>
    </w:p>
    <w:p w14:paraId="3E6870C7" w14:textId="17BC3294" w:rsidR="00292D1D" w:rsidRPr="00C849F6" w:rsidRDefault="00A87503" w:rsidP="002214C9">
      <w:pPr>
        <w:spacing w:after="200" w:line="276" w:lineRule="auto"/>
        <w:rPr>
          <w:b/>
          <w:bCs/>
        </w:rPr>
      </w:pPr>
      <w:r w:rsidRPr="00C849F6">
        <w:rPr>
          <w:b/>
          <w:bCs/>
        </w:rPr>
        <w:t>Fuerzas y tendencias del mercado de la industria del aluminio</w:t>
      </w:r>
    </w:p>
    <w:p w14:paraId="6FEFDE90" w14:textId="2B8B6972" w:rsidR="005B3EAF" w:rsidRPr="00C849F6" w:rsidRDefault="000C3861" w:rsidP="002214C9">
      <w:pPr>
        <w:spacing w:after="200" w:line="276" w:lineRule="auto"/>
      </w:pPr>
      <w:r w:rsidRPr="00C849F6">
        <w:t xml:space="preserve">A lo largo de los años, la demanda de aluminio ha ido experimentando un aumento constante </w:t>
      </w:r>
      <w:r w:rsidR="00983CC8">
        <w:t xml:space="preserve">y </w:t>
      </w:r>
      <w:r w:rsidRPr="00C849F6">
        <w:t xml:space="preserve">se prevé que seguirá creciendo. Según declaraciones de Eng, el </w:t>
      </w:r>
      <w:r w:rsidR="00983CC8">
        <w:t>I</w:t>
      </w:r>
      <w:r w:rsidRPr="00C849F6">
        <w:t>nforme</w:t>
      </w:r>
      <w:r w:rsidRPr="00C849F6">
        <w:rPr>
          <w:vertAlign w:val="superscript"/>
        </w:rPr>
        <w:t>1</w:t>
      </w:r>
      <w:r w:rsidRPr="00C849F6">
        <w:t xml:space="preserve"> Visión 2050 de la Asociación Europea del Aluminio</w:t>
      </w:r>
      <w:r w:rsidR="00035191" w:rsidRPr="00C849F6">
        <w:t xml:space="preserve"> indica que</w:t>
      </w:r>
      <w:r w:rsidRPr="00C849F6">
        <w:t xml:space="preserve"> la demanda de este metal aumentará un 40 % hasta 2050. Esta previsión </w:t>
      </w:r>
      <w:r w:rsidR="00983CC8">
        <w:t>vendrá</w:t>
      </w:r>
      <w:r w:rsidRPr="00C849F6">
        <w:t xml:space="preserve"> fundamentalmente </w:t>
      </w:r>
      <w:r w:rsidR="00983CC8">
        <w:t>de la demanda de los</w:t>
      </w:r>
      <w:r w:rsidRPr="00C849F6">
        <w:t xml:space="preserve"> sectores de transporte, construcción y embalajes</w:t>
      </w:r>
      <w:r w:rsidR="00983CC8">
        <w:t xml:space="preserve"> que emplean el aluminio cada vez sabiendo que</w:t>
      </w:r>
      <w:r w:rsidRPr="00C849F6">
        <w:t xml:space="preserve"> las propiedades permanentes del material</w:t>
      </w:r>
      <w:r w:rsidR="00983CC8">
        <w:t xml:space="preserve"> </w:t>
      </w:r>
      <w:r w:rsidRPr="00C849F6">
        <w:t xml:space="preserve">permiten el reciclaje del aluminio sin que </w:t>
      </w:r>
      <w:r w:rsidR="00983CC8">
        <w:t xml:space="preserve">el aluminio </w:t>
      </w:r>
      <w:r w:rsidRPr="00C849F6">
        <w:t>se degrade.</w:t>
      </w:r>
      <w:r w:rsidR="00983CC8">
        <w:t xml:space="preserve"> Así, e</w:t>
      </w:r>
      <w:r w:rsidRPr="00C849F6">
        <w:t xml:space="preserve">l sector automovilístico se centra en la producción de vehículos ligeros para cumplir los objetivos de emisiones de carbono, mientras el sector de la construcción </w:t>
      </w:r>
      <w:r w:rsidR="00B7751B">
        <w:t>busca</w:t>
      </w:r>
      <w:r w:rsidRPr="00C849F6">
        <w:t xml:space="preserve"> construir edificios más eficientes para cumplir el </w:t>
      </w:r>
      <w:r w:rsidR="00B7751B">
        <w:t>Pacto</w:t>
      </w:r>
      <w:r w:rsidRPr="00C849F6">
        <w:t xml:space="preserve"> </w:t>
      </w:r>
      <w:r w:rsidR="00B7751B">
        <w:t>V</w:t>
      </w:r>
      <w:r w:rsidRPr="00C849F6">
        <w:t xml:space="preserve">erde </w:t>
      </w:r>
      <w:r w:rsidR="00B7751B">
        <w:t>e</w:t>
      </w:r>
      <w:r w:rsidRPr="00C849F6">
        <w:t>uropeo, y la industria de embalajes intenta aumentar su contenido de material reciclado.</w:t>
      </w:r>
    </w:p>
    <w:p w14:paraId="03224AAF" w14:textId="3B8EB64E" w:rsidR="004218FB" w:rsidRPr="00C849F6" w:rsidRDefault="006126ED" w:rsidP="002214C9">
      <w:pPr>
        <w:spacing w:after="200" w:line="276" w:lineRule="auto"/>
      </w:pPr>
      <w:r w:rsidRPr="00C849F6">
        <w:t xml:space="preserve">Eng explicó que, para ofrecer los volúmenes que requiere el mercado, estos sectores deben utilizar recursos secundarios por dos motivos. El primero y más importante, Europa cuenta con una capacidad limitada para producir materiales primarios. Y el segundo, los procesadores de aluminio necesitan cumplir requisitos de calidad cada vez más exigentes y mejorar sus credenciales medioambientales. </w:t>
      </w:r>
    </w:p>
    <w:p w14:paraId="0ABA9220" w14:textId="42F33602" w:rsidR="007A3999" w:rsidRPr="00C849F6" w:rsidRDefault="007A3999" w:rsidP="002214C9">
      <w:pPr>
        <w:spacing w:after="200" w:line="276" w:lineRule="auto"/>
      </w:pPr>
      <w:r w:rsidRPr="00C849F6">
        <w:lastRenderedPageBreak/>
        <w:t>Actualmente, el 36 % del suministro de este metal se cubre con aluminio reciclado.</w:t>
      </w:r>
      <w:r w:rsidRPr="00C849F6">
        <w:rPr>
          <w:vertAlign w:val="superscript"/>
        </w:rPr>
        <w:t>2</w:t>
      </w:r>
      <w:r w:rsidRPr="00C849F6">
        <w:t xml:space="preserve"> Much</w:t>
      </w:r>
      <w:r w:rsidR="008436A0">
        <w:t xml:space="preserve">as de las grandes </w:t>
      </w:r>
      <w:r w:rsidRPr="00C849F6">
        <w:t>marca</w:t>
      </w:r>
      <w:r w:rsidR="008436A0">
        <w:t>s</w:t>
      </w:r>
      <w:r w:rsidRPr="00C849F6">
        <w:t xml:space="preserve"> aspiran a contar con un 100 % de contenido reciclado y quieren reducir su huella medioambiental con aluminio </w:t>
      </w:r>
      <w:r w:rsidR="00B7751B">
        <w:t xml:space="preserve">con </w:t>
      </w:r>
      <w:r w:rsidRPr="00C849F6">
        <w:t>baj</w:t>
      </w:r>
      <w:r w:rsidR="00B7751B">
        <w:t>a huella de</w:t>
      </w:r>
      <w:r w:rsidRPr="00C849F6">
        <w:t xml:space="preserve"> carbono. "Hemos logrado un avance muy importante en cuanto a descarbonizar metales, y aún puede lograrse mayor potencial si aumentamos las tasas de recuperación y reciclaje de aluminio", indicó Eng. </w:t>
      </w:r>
    </w:p>
    <w:p w14:paraId="34665687" w14:textId="248C9F18" w:rsidR="003010EC" w:rsidRPr="00C849F6" w:rsidRDefault="003010EC" w:rsidP="002214C9">
      <w:pPr>
        <w:spacing w:after="200" w:line="276" w:lineRule="auto"/>
        <w:rPr>
          <w:b/>
          <w:bCs/>
        </w:rPr>
      </w:pPr>
      <w:r w:rsidRPr="00C849F6">
        <w:rPr>
          <w:b/>
          <w:bCs/>
        </w:rPr>
        <w:t>Recuperación de aluminio de calidad</w:t>
      </w:r>
    </w:p>
    <w:p w14:paraId="45203E6F" w14:textId="4D8E729A" w:rsidR="00486C43" w:rsidRPr="00C849F6" w:rsidRDefault="00015B74" w:rsidP="002214C9">
      <w:pPr>
        <w:spacing w:after="200" w:line="276" w:lineRule="auto"/>
        <w:rPr>
          <w:rStyle w:val="normaltextrun"/>
        </w:rPr>
      </w:pPr>
      <w:r w:rsidRPr="00C849F6">
        <w:rPr>
          <w:rStyle w:val="normaltextrun"/>
        </w:rPr>
        <w:t xml:space="preserve">Tras analizar el mercado, Eng hizo hincapié en </w:t>
      </w:r>
      <w:r w:rsidR="002B4894">
        <w:rPr>
          <w:rStyle w:val="normaltextrun"/>
        </w:rPr>
        <w:t xml:space="preserve">la necesidad de </w:t>
      </w:r>
      <w:r w:rsidRPr="00C849F6">
        <w:rPr>
          <w:rStyle w:val="normaltextrun"/>
        </w:rPr>
        <w:t xml:space="preserve">que el sector </w:t>
      </w:r>
      <w:r w:rsidR="002B4894">
        <w:rPr>
          <w:rStyle w:val="normaltextrun"/>
        </w:rPr>
        <w:t xml:space="preserve">trabaje cada vez </w:t>
      </w:r>
      <w:r w:rsidRPr="00C849F6">
        <w:rPr>
          <w:rStyle w:val="normaltextrun"/>
        </w:rPr>
        <w:t xml:space="preserve">más </w:t>
      </w:r>
      <w:r w:rsidR="002B4894">
        <w:rPr>
          <w:rStyle w:val="normaltextrun"/>
        </w:rPr>
        <w:t>bajo los principios de</w:t>
      </w:r>
      <w:r w:rsidRPr="00C849F6">
        <w:rPr>
          <w:rStyle w:val="normaltextrun"/>
        </w:rPr>
        <w:t xml:space="preserve"> economía circular. Aludió a unas declaraciones de Greg Wittbecker, quien dijo hace poco que “llevamos mucho tiempo comerciando con aluminio bajo en carbono; lo que pasa es que </w:t>
      </w:r>
      <w:r w:rsidR="000350C7" w:rsidRPr="00C849F6">
        <w:rPr>
          <w:rStyle w:val="normaltextrun"/>
        </w:rPr>
        <w:t xml:space="preserve">se </w:t>
      </w:r>
      <w:r w:rsidRPr="00C849F6">
        <w:rPr>
          <w:rStyle w:val="normaltextrun"/>
        </w:rPr>
        <w:t>l</w:t>
      </w:r>
      <w:r w:rsidR="000350C7" w:rsidRPr="00C849F6">
        <w:rPr>
          <w:rStyle w:val="normaltextrun"/>
        </w:rPr>
        <w:t>e</w:t>
      </w:r>
      <w:r w:rsidRPr="00C849F6">
        <w:rPr>
          <w:rStyle w:val="normaltextrun"/>
        </w:rPr>
        <w:t xml:space="preserve"> </w:t>
      </w:r>
      <w:r w:rsidR="001F0505" w:rsidRPr="00C849F6">
        <w:rPr>
          <w:rStyle w:val="normaltextrun"/>
        </w:rPr>
        <w:t>llamaba</w:t>
      </w:r>
      <w:r w:rsidRPr="00C849F6">
        <w:rPr>
          <w:rStyle w:val="normaltextrun"/>
        </w:rPr>
        <w:t xml:space="preserve"> chatarra”.</w:t>
      </w:r>
      <w:r w:rsidRPr="00C849F6">
        <w:rPr>
          <w:rStyle w:val="normaltextrun"/>
          <w:vertAlign w:val="superscript"/>
        </w:rPr>
        <w:t>3</w:t>
      </w:r>
      <w:r w:rsidRPr="00C849F6">
        <w:rPr>
          <w:rStyle w:val="normaltextrun"/>
        </w:rPr>
        <w:t xml:space="preserve"> En respuesta a estas declaraciones, Tom Eng declaró que existe un exceso de chatarra en Europa y, por tanto, muchísimo valor oculto y recursos valorizables que merece la pena recuperar.</w:t>
      </w:r>
    </w:p>
    <w:p w14:paraId="5DF08E1F" w14:textId="22A05360" w:rsidR="00F16E1B" w:rsidRPr="00C849F6" w:rsidRDefault="002B4894" w:rsidP="002214C9">
      <w:pPr>
        <w:spacing w:after="200" w:line="276" w:lineRule="auto"/>
      </w:pPr>
      <w:r>
        <w:t xml:space="preserve">El reto para dar </w:t>
      </w:r>
      <w:r w:rsidR="00F16E1B" w:rsidRPr="00C849F6">
        <w:t>priori</w:t>
      </w:r>
      <w:r>
        <w:t>dad a</w:t>
      </w:r>
      <w:r w:rsidR="001C106E" w:rsidRPr="00C849F6">
        <w:t xml:space="preserve">l </w:t>
      </w:r>
      <w:r>
        <w:t xml:space="preserve">uso de </w:t>
      </w:r>
      <w:r w:rsidR="00F16E1B" w:rsidRPr="00C849F6">
        <w:t xml:space="preserve">aluminio </w:t>
      </w:r>
      <w:r>
        <w:t>secundario</w:t>
      </w:r>
      <w:r w:rsidR="00F16E1B" w:rsidRPr="00C849F6">
        <w:t xml:space="preserve"> sobre el </w:t>
      </w:r>
      <w:r>
        <w:t>prim</w:t>
      </w:r>
      <w:r w:rsidR="00F16E1B" w:rsidRPr="00C849F6">
        <w:t xml:space="preserve">ario y comerciar </w:t>
      </w:r>
      <w:r>
        <w:t xml:space="preserve">correctamente el </w:t>
      </w:r>
      <w:r w:rsidRPr="00C849F6">
        <w:t xml:space="preserve">aluminio reciclado </w:t>
      </w:r>
      <w:r w:rsidR="00F16E1B" w:rsidRPr="00C849F6">
        <w:t>a nivel local, está en la calidad del producto reciclado. Fundiciones y refundidores solo pueden utilizar materiales reciclados de calidad equivalente al producto virgen y adecuados para aplicaciones de mayor calidad.</w:t>
      </w:r>
    </w:p>
    <w:p w14:paraId="388F5128" w14:textId="190A8093" w:rsidR="000E3D5E" w:rsidRPr="00C849F6" w:rsidRDefault="00085815" w:rsidP="002214C9">
      <w:pPr>
        <w:spacing w:after="200" w:line="276" w:lineRule="auto"/>
      </w:pPr>
      <w:r w:rsidRPr="00C849F6">
        <w:rPr>
          <w:rStyle w:val="normaltextrun"/>
        </w:rPr>
        <w:t xml:space="preserve">Desde un punto de vista técnico, </w:t>
      </w:r>
      <w:r w:rsidR="00072652" w:rsidRPr="00C849F6">
        <w:rPr>
          <w:rStyle w:val="normaltextrun"/>
        </w:rPr>
        <w:t>Eng</w:t>
      </w:r>
      <w:r w:rsidR="002B4894">
        <w:rPr>
          <w:rStyle w:val="normaltextrun"/>
        </w:rPr>
        <w:t xml:space="preserve"> explicó</w:t>
      </w:r>
      <w:r w:rsidRPr="00C849F6">
        <w:rPr>
          <w:rStyle w:val="normaltextrun"/>
        </w:rPr>
        <w:t xml:space="preserve"> que los procesadores de aluminio que utilizan </w:t>
      </w:r>
      <w:r w:rsidR="008436A0">
        <w:rPr>
          <w:rStyle w:val="normaltextrun"/>
        </w:rPr>
        <w:t xml:space="preserve">la sofisticada </w:t>
      </w:r>
      <w:r w:rsidRPr="00C849F6">
        <w:rPr>
          <w:rStyle w:val="normaltextrun"/>
        </w:rPr>
        <w:t xml:space="preserve">tecnología de rayos X disfrutan de una ventaja competitiva. "TOMRA cuenta con 15 años de experiencia en la clasificación de aluminio </w:t>
      </w:r>
      <w:r w:rsidR="008436A0">
        <w:rPr>
          <w:rStyle w:val="normaltextrun"/>
        </w:rPr>
        <w:t xml:space="preserve">de entre </w:t>
      </w:r>
      <w:r w:rsidRPr="00C849F6">
        <w:rPr>
          <w:rStyle w:val="normaltextrun"/>
        </w:rPr>
        <w:t>metales pesados. Nuestra tecnología XRT es la más avanzada del mundo para el reciclaje y fundición de</w:t>
      </w:r>
      <w:r w:rsidR="008436A0">
        <w:rPr>
          <w:rStyle w:val="normaltextrun"/>
        </w:rPr>
        <w:t>l</w:t>
      </w:r>
      <w:r w:rsidRPr="00C849F6">
        <w:rPr>
          <w:rStyle w:val="normaltextrun"/>
        </w:rPr>
        <w:t xml:space="preserve"> aluminio, pero acabamos de desarrollar un</w:t>
      </w:r>
      <w:r w:rsidR="00076CA9">
        <w:rPr>
          <w:rStyle w:val="normaltextrun"/>
        </w:rPr>
        <w:t xml:space="preserve"> sistema </w:t>
      </w:r>
      <w:r w:rsidR="002B4894">
        <w:rPr>
          <w:rStyle w:val="normaltextrun"/>
        </w:rPr>
        <w:t>para</w:t>
      </w:r>
      <w:r w:rsidRPr="00C849F6">
        <w:rPr>
          <w:rStyle w:val="normaltextrun"/>
        </w:rPr>
        <w:t xml:space="preserve"> procesar </w:t>
      </w:r>
      <w:r w:rsidR="00076CA9" w:rsidRPr="00C849F6">
        <w:rPr>
          <w:rStyle w:val="normaltextrun"/>
        </w:rPr>
        <w:t xml:space="preserve">más material </w:t>
      </w:r>
      <w:r w:rsidR="00076CA9">
        <w:rPr>
          <w:rStyle w:val="normaltextrun"/>
        </w:rPr>
        <w:t xml:space="preserve">de forma </w:t>
      </w:r>
      <w:r w:rsidRPr="00C849F6">
        <w:rPr>
          <w:rStyle w:val="normaltextrun"/>
        </w:rPr>
        <w:t>más rápid</w:t>
      </w:r>
      <w:r w:rsidR="00076CA9">
        <w:rPr>
          <w:rStyle w:val="normaltextrun"/>
        </w:rPr>
        <w:t>a</w:t>
      </w:r>
      <w:r w:rsidRPr="00C849F6">
        <w:rPr>
          <w:rStyle w:val="normaltextrun"/>
        </w:rPr>
        <w:t xml:space="preserve"> ", subrayó.</w:t>
      </w:r>
      <w:r w:rsidRPr="00C849F6">
        <w:t xml:space="preserve"> </w:t>
      </w:r>
      <w:r w:rsidR="00076CA9">
        <w:t xml:space="preserve">Las </w:t>
      </w:r>
      <w:r w:rsidRPr="00C849F6">
        <w:rPr>
          <w:rStyle w:val="normaltextrun"/>
        </w:rPr>
        <w:t xml:space="preserve">fundiciones y refinadoras </w:t>
      </w:r>
      <w:r w:rsidR="00076CA9">
        <w:rPr>
          <w:rStyle w:val="normaltextrun"/>
        </w:rPr>
        <w:t>están</w:t>
      </w:r>
      <w:r w:rsidR="00076CA9" w:rsidRPr="00C849F6">
        <w:rPr>
          <w:rStyle w:val="normaltextrun"/>
        </w:rPr>
        <w:t xml:space="preserve"> sometidas </w:t>
      </w:r>
      <w:r w:rsidRPr="00C849F6">
        <w:rPr>
          <w:rStyle w:val="normaltextrun"/>
        </w:rPr>
        <w:t xml:space="preserve">a una gran presión para reducir costes sin que la calidad </w:t>
      </w:r>
      <w:r w:rsidR="00076CA9">
        <w:rPr>
          <w:rStyle w:val="normaltextrun"/>
        </w:rPr>
        <w:t xml:space="preserve">de su producto </w:t>
      </w:r>
      <w:r w:rsidRPr="00C849F6">
        <w:rPr>
          <w:rStyle w:val="normaltextrun"/>
        </w:rPr>
        <w:t>se vea afectada</w:t>
      </w:r>
      <w:r w:rsidR="00E67EC2">
        <w:rPr>
          <w:rStyle w:val="normaltextrun"/>
        </w:rPr>
        <w:t>. Para ello</w:t>
      </w:r>
      <w:r w:rsidRPr="00C849F6">
        <w:rPr>
          <w:rStyle w:val="normaltextrun"/>
        </w:rPr>
        <w:t xml:space="preserve"> </w:t>
      </w:r>
      <w:r w:rsidR="00076CA9">
        <w:rPr>
          <w:rStyle w:val="normaltextrun"/>
        </w:rPr>
        <w:t>requieren</w:t>
      </w:r>
      <w:r w:rsidRPr="00C849F6">
        <w:rPr>
          <w:rStyle w:val="normaltextrun"/>
        </w:rPr>
        <w:t xml:space="preserve"> </w:t>
      </w:r>
      <w:r w:rsidRPr="00C849F6">
        <w:t>soluciones viables y rentables económicamente</w:t>
      </w:r>
      <w:r w:rsidRPr="00C849F6">
        <w:rPr>
          <w:rStyle w:val="normaltextrun"/>
        </w:rPr>
        <w:t xml:space="preserve">. </w:t>
      </w:r>
      <w:r w:rsidR="00E67EC2">
        <w:rPr>
          <w:rStyle w:val="normaltextrun"/>
        </w:rPr>
        <w:t>E</w:t>
      </w:r>
      <w:r w:rsidRPr="00C849F6">
        <w:rPr>
          <w:rStyle w:val="normaltextrun"/>
        </w:rPr>
        <w:t>l nuevo X-TRACT de TOMRA</w:t>
      </w:r>
      <w:r w:rsidR="00E67EC2">
        <w:rPr>
          <w:rStyle w:val="normaltextrun"/>
        </w:rPr>
        <w:t xml:space="preserve"> permite que los</w:t>
      </w:r>
      <w:r w:rsidRPr="00C849F6">
        <w:rPr>
          <w:rStyle w:val="normaltextrun"/>
        </w:rPr>
        <w:t xml:space="preserve"> procesadores </w:t>
      </w:r>
      <w:r w:rsidR="00E67EC2">
        <w:rPr>
          <w:rStyle w:val="normaltextrun"/>
        </w:rPr>
        <w:t>creen</w:t>
      </w:r>
      <w:r w:rsidRPr="00C849F6">
        <w:rPr>
          <w:rStyle w:val="normaltextrun"/>
        </w:rPr>
        <w:t xml:space="preserve"> productos de </w:t>
      </w:r>
      <w:r w:rsidR="00E67EC2">
        <w:rPr>
          <w:rStyle w:val="normaltextrun"/>
        </w:rPr>
        <w:t xml:space="preserve">alta </w:t>
      </w:r>
      <w:r w:rsidRPr="00C849F6">
        <w:rPr>
          <w:rStyle w:val="normaltextrun"/>
        </w:rPr>
        <w:t xml:space="preserve">calidad </w:t>
      </w:r>
      <w:r w:rsidR="00076CA9" w:rsidRPr="00C849F6">
        <w:rPr>
          <w:rStyle w:val="normaltextrun"/>
        </w:rPr>
        <w:t>de forma constante</w:t>
      </w:r>
      <w:r w:rsidR="00076CA9">
        <w:rPr>
          <w:rStyle w:val="normaltextrun"/>
        </w:rPr>
        <w:t>. Producto</w:t>
      </w:r>
      <w:r w:rsidR="00E67EC2">
        <w:rPr>
          <w:rStyle w:val="normaltextrun"/>
        </w:rPr>
        <w:t>s</w:t>
      </w:r>
      <w:r w:rsidR="00076CA9">
        <w:rPr>
          <w:rStyle w:val="normaltextrun"/>
        </w:rPr>
        <w:t xml:space="preserve"> </w:t>
      </w:r>
      <w:r w:rsidRPr="00C849F6">
        <w:rPr>
          <w:rStyle w:val="normaltextrun"/>
        </w:rPr>
        <w:t>válido</w:t>
      </w:r>
      <w:r w:rsidR="00E67EC2">
        <w:rPr>
          <w:rStyle w:val="normaltextrun"/>
        </w:rPr>
        <w:t>s</w:t>
      </w:r>
      <w:r w:rsidRPr="00C849F6">
        <w:rPr>
          <w:rStyle w:val="normaltextrun"/>
        </w:rPr>
        <w:t xml:space="preserve"> para su uso en el horno,</w:t>
      </w:r>
      <w:r w:rsidR="0005607C">
        <w:rPr>
          <w:rStyle w:val="normaltextrun"/>
        </w:rPr>
        <w:t xml:space="preserve"> logrando </w:t>
      </w:r>
      <w:r w:rsidRPr="00C849F6">
        <w:rPr>
          <w:rStyle w:val="normaltextrun"/>
        </w:rPr>
        <w:t xml:space="preserve">reducir así su consumo energético. Para destacar la flexibilidad de la tecnología de clasificación mediante rayos X y la pureza de los resultados que ofrece, Tom Eng mostró un diagrama de dos aplicaciones típicas: </w:t>
      </w:r>
      <w:r w:rsidR="0005607C">
        <w:rPr>
          <w:rStyle w:val="normaltextrun"/>
        </w:rPr>
        <w:t xml:space="preserve">el </w:t>
      </w:r>
      <w:r w:rsidRPr="00C849F6">
        <w:rPr>
          <w:rStyle w:val="normaltextrun"/>
        </w:rPr>
        <w:t xml:space="preserve">procesamiento de zorba y </w:t>
      </w:r>
      <w:r w:rsidR="008436A0">
        <w:rPr>
          <w:rStyle w:val="normaltextrun"/>
        </w:rPr>
        <w:t xml:space="preserve">la </w:t>
      </w:r>
      <w:r w:rsidR="0005607C">
        <w:rPr>
          <w:rStyle w:val="normaltextrun"/>
        </w:rPr>
        <w:t xml:space="preserve">de </w:t>
      </w:r>
      <w:r w:rsidRPr="00C849F6">
        <w:rPr>
          <w:rStyle w:val="normaltextrun"/>
        </w:rPr>
        <w:t>perfiles de aluminio.</w:t>
      </w:r>
    </w:p>
    <w:p w14:paraId="1066700A" w14:textId="7F2283BC" w:rsidR="00F173CC" w:rsidRPr="00C849F6" w:rsidRDefault="00CF6F41" w:rsidP="002214C9">
      <w:pPr>
        <w:spacing w:after="200" w:line="276" w:lineRule="auto"/>
        <w:rPr>
          <w:b/>
          <w:bCs/>
        </w:rPr>
      </w:pPr>
      <w:r w:rsidRPr="00C849F6">
        <w:rPr>
          <w:b/>
          <w:bCs/>
        </w:rPr>
        <w:t>Aluminio primario vs. secundario</w:t>
      </w:r>
    </w:p>
    <w:p w14:paraId="12CD7055" w14:textId="71357043" w:rsidR="00E50770" w:rsidRPr="001177BB" w:rsidRDefault="005B0E50" w:rsidP="002214C9">
      <w:pPr>
        <w:spacing w:after="200" w:line="276" w:lineRule="auto"/>
      </w:pPr>
      <w:r w:rsidRPr="00C849F6">
        <w:t xml:space="preserve">Utilizar aluminio reciclado en vez de material virgen tiene muchas ventajas tanto para las empresas de reciclaje como para el medio ambiente. </w:t>
      </w:r>
      <w:r w:rsidR="0005607C">
        <w:t xml:space="preserve">Tom </w:t>
      </w:r>
      <w:r w:rsidRPr="00C849F6">
        <w:t>Eng resume estas ventajas indicando que las empresas de reciclaje que utilizan la última tecnología de clasificación pueden procesar mayores volúmenes de chatarra de baja calidad y crear productos bajos en carbono</w:t>
      </w:r>
      <w:r w:rsidR="0005607C">
        <w:t xml:space="preserve"> y</w:t>
      </w:r>
      <w:r w:rsidRPr="00C849F6">
        <w:t xml:space="preserve"> de calidad constante</w:t>
      </w:r>
      <w:r w:rsidR="0005607C">
        <w:t xml:space="preserve">. Esto les </w:t>
      </w:r>
      <w:r w:rsidRPr="00C849F6">
        <w:t xml:space="preserve">permite </w:t>
      </w:r>
      <w:r w:rsidR="0005607C">
        <w:t>alcanzar</w:t>
      </w:r>
      <w:r w:rsidRPr="00C849F6">
        <w:t xml:space="preserve"> precios</w:t>
      </w:r>
      <w:r w:rsidR="0005607C">
        <w:t xml:space="preserve"> de venta</w:t>
      </w:r>
      <w:r w:rsidRPr="00C849F6">
        <w:t xml:space="preserve"> más altos en el mercado interno. Además, la producción de aluminio secundario consume un 95 % menos de energía que la de aluminio primario y reduce la dependencia de bauxita y de la importación de aluminio primario, causante de importantes emisiones de carbono. Profundizando en el tema, Eng </w:t>
      </w:r>
      <w:r w:rsidR="006003DB">
        <w:t xml:space="preserve">explicó </w:t>
      </w:r>
      <w:r w:rsidRPr="00C849F6">
        <w:t>que s</w:t>
      </w:r>
      <w:r w:rsidR="00241B23" w:rsidRPr="00C849F6">
        <w:t>i</w:t>
      </w:r>
      <w:r w:rsidRPr="00C849F6">
        <w:t xml:space="preserve"> usa</w:t>
      </w:r>
      <w:r w:rsidR="006003DB">
        <w:t>ndo a</w:t>
      </w:r>
      <w:r w:rsidRPr="00C849F6">
        <w:t xml:space="preserve">luminio reciclado en </w:t>
      </w:r>
      <w:r w:rsidR="006003DB">
        <w:t>lugar</w:t>
      </w:r>
      <w:r w:rsidRPr="00C849F6">
        <w:t xml:space="preserve"> de </w:t>
      </w:r>
      <w:r w:rsidR="006003DB">
        <w:t>aluminio</w:t>
      </w:r>
      <w:r w:rsidRPr="00C849F6">
        <w:t xml:space="preserve"> primario importado, podrían reducirse las </w:t>
      </w:r>
      <w:r w:rsidRPr="001177BB">
        <w:t>emisiones de CO</w:t>
      </w:r>
      <w:r w:rsidRPr="001177BB">
        <w:rPr>
          <w:vertAlign w:val="subscript"/>
        </w:rPr>
        <w:t>2</w:t>
      </w:r>
      <w:r w:rsidRPr="001177BB">
        <w:t xml:space="preserve"> para el año 2050</w:t>
      </w:r>
      <w:r w:rsidR="006003DB" w:rsidRPr="001177BB">
        <w:t>. Esto</w:t>
      </w:r>
      <w:r w:rsidRPr="001177BB">
        <w:t xml:space="preserve"> supondría evitar la emisión de 39 millones de toneladas de CO</w:t>
      </w:r>
      <w:r w:rsidRPr="001177BB">
        <w:rPr>
          <w:vertAlign w:val="subscript"/>
        </w:rPr>
        <w:t>2</w:t>
      </w:r>
      <w:r w:rsidRPr="001177BB">
        <w:t xml:space="preserve"> al año y 2050</w:t>
      </w:r>
      <w:r w:rsidRPr="001177BB">
        <w:rPr>
          <w:vertAlign w:val="superscript"/>
        </w:rPr>
        <w:t>4</w:t>
      </w:r>
      <w:r w:rsidR="001177BB">
        <w:t>.</w:t>
      </w:r>
    </w:p>
    <w:p w14:paraId="38A4985A" w14:textId="3C932AB5" w:rsidR="00E50770" w:rsidRPr="00C849F6" w:rsidRDefault="00DA721C" w:rsidP="002214C9">
      <w:pPr>
        <w:spacing w:after="200" w:line="276" w:lineRule="auto"/>
      </w:pPr>
      <w:r w:rsidRPr="00C849F6">
        <w:lastRenderedPageBreak/>
        <w:t xml:space="preserve">Tras una visión general de sus beneficios, Tom Eng puso un ejemplo de uno de los clientes de TOMRA. </w:t>
      </w:r>
      <w:r w:rsidR="006003DB">
        <w:t>Tras</w:t>
      </w:r>
      <w:r w:rsidRPr="00C849F6">
        <w:t xml:space="preserve"> aumentar el contenido de aluminio secundario</w:t>
      </w:r>
      <w:r w:rsidR="006003DB">
        <w:t xml:space="preserve"> </w:t>
      </w:r>
      <w:r w:rsidR="006003DB" w:rsidRPr="00C849F6">
        <w:t>en el proceso de producción</w:t>
      </w:r>
      <w:r w:rsidRPr="00C849F6">
        <w:t>, una fundición ha ahorrado 1,5 millones de euros al año</w:t>
      </w:r>
      <w:r w:rsidR="00F84875">
        <w:t>. Adicionalmente</w:t>
      </w:r>
      <w:r w:rsidRPr="00C849F6">
        <w:t xml:space="preserve"> ha reducido un 6 % su consumo energético. E</w:t>
      </w:r>
      <w:r w:rsidR="00F84875">
        <w:t>ste</w:t>
      </w:r>
      <w:r w:rsidRPr="00C849F6">
        <w:t xml:space="preserve"> ahorro energético se debe fundamentalmente a que el material reciclado requiere menos energía para fundirse en el horno. Además, </w:t>
      </w:r>
      <w:r w:rsidR="00E30F4B">
        <w:t xml:space="preserve">esta </w:t>
      </w:r>
      <w:r w:rsidRPr="00C849F6">
        <w:t xml:space="preserve">chatarra de calidad </w:t>
      </w:r>
      <w:r w:rsidR="00E30F4B">
        <w:t>logró incrementar</w:t>
      </w:r>
      <w:r w:rsidRPr="00C849F6">
        <w:t xml:space="preserve"> la capacidad de producción </w:t>
      </w:r>
      <w:r w:rsidR="00E30F4B">
        <w:t xml:space="preserve">de la fundición y aumentar su facturación en </w:t>
      </w:r>
      <w:r w:rsidRPr="00C849F6">
        <w:t xml:space="preserve">1 millón de euros </w:t>
      </w:r>
      <w:r w:rsidR="00E30F4B">
        <w:t xml:space="preserve">extras </w:t>
      </w:r>
      <w:r w:rsidRPr="00C849F6">
        <w:t>al año.</w:t>
      </w:r>
    </w:p>
    <w:p w14:paraId="783CDD67" w14:textId="666743B6" w:rsidR="007A6407" w:rsidRPr="00C849F6" w:rsidRDefault="007A6407" w:rsidP="002214C9">
      <w:pPr>
        <w:spacing w:after="200" w:line="276" w:lineRule="auto"/>
        <w:rPr>
          <w:b/>
          <w:bCs/>
        </w:rPr>
      </w:pPr>
      <w:r w:rsidRPr="00C849F6">
        <w:rPr>
          <w:b/>
          <w:bCs/>
        </w:rPr>
        <w:t xml:space="preserve">Cierre del círculo del aluminio </w:t>
      </w:r>
    </w:p>
    <w:p w14:paraId="0C4AA82A" w14:textId="104B0202" w:rsidR="00B67455" w:rsidRPr="00EB66F4" w:rsidRDefault="00C035CB" w:rsidP="002214C9">
      <w:pPr>
        <w:spacing w:after="200" w:line="276" w:lineRule="auto"/>
      </w:pPr>
      <w:r>
        <w:t>Para finalizar su presentación</w:t>
      </w:r>
      <w:r w:rsidR="00B67455" w:rsidRPr="00C849F6">
        <w:t xml:space="preserve"> </w:t>
      </w:r>
      <w:r w:rsidR="00E30F4B">
        <w:t xml:space="preserve">Tom </w:t>
      </w:r>
      <w:r w:rsidR="00B67455" w:rsidRPr="00C849F6">
        <w:t xml:space="preserve">Eng recordó que </w:t>
      </w:r>
      <w:r w:rsidR="00E30F4B">
        <w:t>la</w:t>
      </w:r>
      <w:r w:rsidR="00B67455" w:rsidRPr="00C849F6">
        <w:t xml:space="preserve"> gran demanda de aluminio puede satisfacerse con aluminio secundario. "Si aprovechamos la chatarra que tenemos y utilizamos la tecnología de clasificación adecuada, podemos maximizar las tasas de recuperación, reciclar volúmenes más grandes y abastecer al mercado con aluminio reciclado de primera clase. A su vez, esto nos permitiría cumplir los objetivos de emisiones de CO</w:t>
      </w:r>
      <w:r w:rsidR="00B67455" w:rsidRPr="00E30F4B">
        <w:rPr>
          <w:vertAlign w:val="subscript"/>
        </w:rPr>
        <w:t>2</w:t>
      </w:r>
      <w:r w:rsidR="00B67455" w:rsidRPr="00C849F6">
        <w:t xml:space="preserve"> y hacer que el aluminio sea más ecológico. </w:t>
      </w:r>
      <w:r w:rsidR="00B67455" w:rsidRPr="00EB66F4">
        <w:t>Cerremos, juntos, el círculo", concluyó Tom Eng.</w:t>
      </w:r>
    </w:p>
    <w:p w14:paraId="2B436AD8" w14:textId="21E6AA50" w:rsidR="002A719A" w:rsidRPr="00EB66F4" w:rsidRDefault="002A719A" w:rsidP="002214C9">
      <w:pPr>
        <w:spacing w:after="200" w:line="276" w:lineRule="auto"/>
      </w:pPr>
    </w:p>
    <w:p w14:paraId="690812A2" w14:textId="77777777" w:rsidR="007B2E87" w:rsidRPr="00C849F6" w:rsidRDefault="007B2E87" w:rsidP="007B2E87">
      <w:pPr>
        <w:rPr>
          <w:b/>
          <w:bCs/>
        </w:rPr>
      </w:pPr>
      <w:r w:rsidRPr="00C849F6">
        <w:rPr>
          <w:b/>
          <w:bCs/>
        </w:rPr>
        <w:t>Sobre TOMRA Recycling</w:t>
      </w:r>
    </w:p>
    <w:p w14:paraId="75BFCECE" w14:textId="678C0207" w:rsidR="007B2E87" w:rsidRPr="00C849F6" w:rsidRDefault="000333C3" w:rsidP="002214C9">
      <w:pPr>
        <w:spacing w:after="200" w:line="276" w:lineRule="auto"/>
      </w:pPr>
      <w:hyperlink r:id="rId10" w:history="1">
        <w:r w:rsidR="007B2E87" w:rsidRPr="00847D56">
          <w:rPr>
            <w:rStyle w:val="Hipervnculo"/>
          </w:rPr>
          <w:t>TOMRA Recycling</w:t>
        </w:r>
      </w:hyperlink>
      <w:r w:rsidR="007B2E87" w:rsidRPr="00C849F6">
        <w:t xml:space="preserve"> diseña y fabrica tecnologías de clasificación basadas en sensores para el sector mundial de reciclaje y tratamiento de residuos</w:t>
      </w:r>
      <w:r w:rsidR="007B2E87" w:rsidRPr="00FD2FEB">
        <w:t>, para transformar la recuperación de recursos y crear valor a partir de residuos.</w:t>
      </w:r>
      <w:r w:rsidR="007B2E87" w:rsidRPr="00C849F6">
        <w:t xml:space="preserve"> </w:t>
      </w:r>
    </w:p>
    <w:p w14:paraId="5A6D9BA3" w14:textId="48C7884B" w:rsidR="007B2E87" w:rsidRPr="00C849F6" w:rsidRDefault="007B2E87" w:rsidP="002214C9">
      <w:pPr>
        <w:spacing w:after="200" w:line="276" w:lineRule="auto"/>
      </w:pPr>
      <w:r w:rsidRPr="00FD2FEB">
        <w:t>Fue la primera empresa en desarrollar aplicaciones de clasificación avanzada de residuos y metales que usan tecnología de infrarrojo cercado (NIR) de gran capacidad para obtener el máximo valor de los recursos y mantener los materiales dentro de un círculo de uso y reutilización.</w:t>
      </w:r>
      <w:r w:rsidRPr="00C849F6">
        <w:t xml:space="preserve"> Hasta el momento, hemos instalado más de 8</w:t>
      </w:r>
      <w:r w:rsidR="002214C9">
        <w:t>.</w:t>
      </w:r>
      <w:r w:rsidRPr="00C849F6">
        <w:t xml:space="preserve">200 sistemas en más de 100 países diferentes. </w:t>
      </w:r>
    </w:p>
    <w:p w14:paraId="39F89E26" w14:textId="57658311" w:rsidR="007B2E87" w:rsidRPr="00C849F6" w:rsidRDefault="007B2E87" w:rsidP="002214C9">
      <w:pPr>
        <w:spacing w:after="200" w:line="276" w:lineRule="auto"/>
      </w:pPr>
      <w:r w:rsidRPr="00C849F6">
        <w:t>TOMRA Recycling forma parte del Grupo TOMRA</w:t>
      </w:r>
      <w:r w:rsidRPr="00FD2FEB">
        <w:t xml:space="preserve">. </w:t>
      </w:r>
      <w:r w:rsidR="00284F5D" w:rsidRPr="00FD2FEB">
        <w:t>S</w:t>
      </w:r>
      <w:r w:rsidRPr="00FD2FEB">
        <w:t>e creó en 1972 en base a una idea innovadora que comenzó por el diseño, la producción y venta de máquinas de devolución de depósitos (</w:t>
      </w:r>
      <w:r w:rsidR="00C33B75" w:rsidRPr="00FD2FEB">
        <w:t>SDDR</w:t>
      </w:r>
      <w:r w:rsidRPr="00FD2FEB">
        <w:t>) para la recogida automatizada de envases usados de bebidas.</w:t>
      </w:r>
      <w:r w:rsidRPr="00C849F6">
        <w:t xml:space="preserve"> </w:t>
      </w:r>
    </w:p>
    <w:p w14:paraId="11D7DACB" w14:textId="75EA65FD" w:rsidR="007B2E87" w:rsidRPr="00C849F6" w:rsidRDefault="007B2E87" w:rsidP="002214C9">
      <w:pPr>
        <w:spacing w:after="200" w:line="276" w:lineRule="auto"/>
      </w:pPr>
      <w:r w:rsidRPr="00FD2FEB">
        <w:t>Actualmente, lidera la revolución de los recursos para transformar la forma en que se obtienen, utilizan y reutilizan los recursos del planeta, para lograr un mundo sin residuos. El resto de empresas de la compañía son TOMRA Food, TOMRA Mining y TOMRA Collection.</w:t>
      </w:r>
      <w:r w:rsidRPr="00C849F6">
        <w:t xml:space="preserve"> </w:t>
      </w:r>
    </w:p>
    <w:p w14:paraId="20F1600F" w14:textId="36763313" w:rsidR="007B2E87" w:rsidRPr="00C849F6" w:rsidRDefault="007B2E87" w:rsidP="002214C9">
      <w:pPr>
        <w:spacing w:after="200" w:line="276" w:lineRule="auto"/>
      </w:pPr>
      <w:r w:rsidRPr="00C849F6">
        <w:t>TOMRA cuenta con unas 100.000 instalaciones en más de 80 mercados de todo el mundo, y en 2021 tuvo unos ingresos totales de unos 10.900 millones de NOK. El grupo tiene unos 4</w:t>
      </w:r>
      <w:r w:rsidR="00F54BE1">
        <w:t>.</w:t>
      </w:r>
      <w:r w:rsidRPr="00C849F6">
        <w:t>600 empleados por todo el mundo y cotiza en la Bolsa de Valores de Oslo. La central de la compañía se encuentra en Asker, Noruega.</w:t>
      </w:r>
    </w:p>
    <w:p w14:paraId="3F2B2B53" w14:textId="42DAA436" w:rsidR="00F54BE1" w:rsidRPr="003936F9" w:rsidRDefault="007B2E87" w:rsidP="00F54BE1">
      <w:pPr>
        <w:pStyle w:val="Sinespaciado"/>
        <w:spacing w:after="200" w:line="276" w:lineRule="auto"/>
        <w:jc w:val="both"/>
        <w:rPr>
          <w:rStyle w:val="Hipervnculo"/>
          <w:color w:val="0000FF"/>
        </w:rPr>
      </w:pPr>
      <w:r w:rsidRPr="00C849F6">
        <w:t xml:space="preserve">Para más información, visite </w:t>
      </w:r>
      <w:r w:rsidRPr="00F54BE1">
        <w:rPr>
          <w:rStyle w:val="Hipervnculo"/>
          <w:color w:val="0000FF"/>
        </w:rPr>
        <w:t>www.tomra.com</w:t>
      </w:r>
      <w:r w:rsidRPr="00C849F6">
        <w:t xml:space="preserve"> </w:t>
      </w:r>
      <w:r w:rsidR="00F54BE1">
        <w:rPr>
          <w:rFonts w:asciiTheme="minorHAnsi" w:hAnsiTheme="minorHAnsi"/>
          <w:iCs/>
        </w:rPr>
        <w:t xml:space="preserve">o síganos en </w:t>
      </w:r>
      <w:hyperlink r:id="rId11" w:history="1">
        <w:r w:rsidR="00F54BE1" w:rsidRPr="003936F9">
          <w:rPr>
            <w:rStyle w:val="Hipervnculo"/>
            <w:color w:val="0000FF"/>
          </w:rPr>
          <w:t>Facebook</w:t>
        </w:r>
      </w:hyperlink>
      <w:r w:rsidR="00F54BE1" w:rsidRPr="00F54BE1">
        <w:rPr>
          <w:rFonts w:asciiTheme="minorHAnsi" w:hAnsiTheme="minorHAnsi"/>
          <w:iCs/>
        </w:rPr>
        <w:t xml:space="preserve">, </w:t>
      </w:r>
      <w:hyperlink r:id="rId12" w:history="1">
        <w:r w:rsidR="00F54BE1" w:rsidRPr="003936F9">
          <w:rPr>
            <w:rStyle w:val="Hipervnculo"/>
            <w:color w:val="0000FF"/>
          </w:rPr>
          <w:t>Twitter</w:t>
        </w:r>
      </w:hyperlink>
      <w:r w:rsidR="00F54BE1" w:rsidRPr="00F54BE1">
        <w:rPr>
          <w:rFonts w:asciiTheme="minorHAnsi" w:hAnsiTheme="minorHAnsi"/>
          <w:iCs/>
        </w:rPr>
        <w:t xml:space="preserve"> </w:t>
      </w:r>
      <w:r w:rsidR="003936F9">
        <w:rPr>
          <w:rFonts w:asciiTheme="minorHAnsi" w:hAnsiTheme="minorHAnsi"/>
          <w:iCs/>
        </w:rPr>
        <w:t>y</w:t>
      </w:r>
      <w:r w:rsidR="00F54BE1" w:rsidRPr="00F54BE1">
        <w:rPr>
          <w:rFonts w:asciiTheme="minorHAnsi" w:hAnsiTheme="minorHAnsi"/>
          <w:iCs/>
        </w:rPr>
        <w:t xml:space="preserve"> </w:t>
      </w:r>
      <w:hyperlink r:id="rId13" w:history="1">
        <w:r w:rsidR="003936F9" w:rsidRPr="003936F9">
          <w:rPr>
            <w:rStyle w:val="Hipervnculo"/>
            <w:color w:val="0000FF"/>
          </w:rPr>
          <w:t>LinkedIn</w:t>
        </w:r>
      </w:hyperlink>
      <w:r w:rsidR="00F54BE1" w:rsidRPr="003936F9">
        <w:rPr>
          <w:rStyle w:val="Hipervnculo"/>
          <w:color w:val="0000FF"/>
        </w:rPr>
        <w:t>.</w:t>
      </w:r>
    </w:p>
    <w:p w14:paraId="4A543F69" w14:textId="77777777" w:rsidR="003936F9" w:rsidRDefault="003936F9" w:rsidP="003936F9">
      <w:pPr>
        <w:spacing w:after="200" w:line="276" w:lineRule="auto"/>
      </w:pPr>
    </w:p>
    <w:p w14:paraId="27303E1E" w14:textId="451B7B41" w:rsidR="005B258E" w:rsidRPr="00C849F6" w:rsidRDefault="005B258E" w:rsidP="003936F9">
      <w:pPr>
        <w:spacing w:after="200" w:line="276" w:lineRule="auto"/>
        <w:rPr>
          <w:rFonts w:cstheme="minorHAnsi"/>
          <w:b/>
          <w:bCs/>
        </w:rPr>
      </w:pPr>
      <w:r w:rsidRPr="00C849F6">
        <w:rPr>
          <w:rFonts w:cstheme="minorHAnsi"/>
          <w:b/>
          <w:bCs/>
        </w:rPr>
        <w:lastRenderedPageBreak/>
        <w:t>Contacto con los medios</w:t>
      </w:r>
    </w:p>
    <w:p w14:paraId="00CBC81D" w14:textId="77777777" w:rsidR="005B258E" w:rsidRPr="00C849F6" w:rsidRDefault="005B258E" w:rsidP="005B258E">
      <w:pPr>
        <w:spacing w:after="0" w:line="240" w:lineRule="auto"/>
        <w:rPr>
          <w:rFonts w:cstheme="minorHAnsi"/>
        </w:rPr>
      </w:pPr>
      <w:r w:rsidRPr="00C849F6">
        <w:rPr>
          <w:rFonts w:cstheme="minorHAnsi"/>
        </w:rPr>
        <w:t>Emitido por:</w:t>
      </w:r>
      <w:r w:rsidRPr="00C849F6">
        <w:rPr>
          <w:rFonts w:cstheme="minorHAnsi"/>
        </w:rPr>
        <w:tab/>
      </w:r>
      <w:r w:rsidRPr="00C849F6">
        <w:rPr>
          <w:rFonts w:cstheme="minorHAnsi"/>
        </w:rPr>
        <w:tab/>
      </w:r>
      <w:r w:rsidRPr="00C849F6">
        <w:rPr>
          <w:rFonts w:cstheme="minorHAnsi"/>
        </w:rPr>
        <w:tab/>
      </w:r>
      <w:r w:rsidRPr="00C849F6">
        <w:rPr>
          <w:rFonts w:cstheme="minorHAnsi"/>
        </w:rPr>
        <w:tab/>
      </w:r>
      <w:r w:rsidRPr="00C849F6">
        <w:rPr>
          <w:rFonts w:cstheme="minorHAnsi"/>
        </w:rPr>
        <w:tab/>
      </w:r>
      <w:r w:rsidRPr="00C849F6">
        <w:rPr>
          <w:rFonts w:cstheme="minorHAnsi"/>
        </w:rPr>
        <w:tab/>
        <w:t>En nombre de:</w:t>
      </w:r>
    </w:p>
    <w:p w14:paraId="24C8B164" w14:textId="77777777" w:rsidR="005B258E" w:rsidRPr="005F4C3E" w:rsidRDefault="005B258E" w:rsidP="005B258E">
      <w:pPr>
        <w:spacing w:after="0" w:line="240" w:lineRule="auto"/>
        <w:rPr>
          <w:rFonts w:cstheme="minorHAnsi"/>
          <w:lang w:val="en-US"/>
        </w:rPr>
      </w:pPr>
      <w:r w:rsidRPr="005F4C3E">
        <w:rPr>
          <w:rFonts w:cstheme="minorHAnsi"/>
          <w:lang w:val="en-US"/>
        </w:rPr>
        <w:t>ALARCÓN &amp; HARRIS</w:t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  <w:t>TOMRA Recycling</w:t>
      </w:r>
    </w:p>
    <w:p w14:paraId="424A0D4A" w14:textId="77777777" w:rsidR="005B258E" w:rsidRPr="005F4C3E" w:rsidRDefault="005B258E" w:rsidP="005B258E">
      <w:pPr>
        <w:spacing w:after="0" w:line="240" w:lineRule="auto"/>
        <w:rPr>
          <w:rFonts w:cstheme="minorHAnsi"/>
          <w:lang w:val="en-US"/>
        </w:rPr>
      </w:pPr>
      <w:r w:rsidRPr="005F4C3E">
        <w:rPr>
          <w:rFonts w:cstheme="minorHAnsi"/>
          <w:lang w:val="en-US"/>
        </w:rPr>
        <w:t>Nuria Martí</w:t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</w:r>
      <w:r w:rsidRPr="005F4C3E">
        <w:rPr>
          <w:rFonts w:cstheme="minorHAnsi"/>
          <w:lang w:val="en-US"/>
        </w:rPr>
        <w:tab/>
        <w:t>Michèle Wiemer </w:t>
      </w:r>
    </w:p>
    <w:p w14:paraId="2DECAB8F" w14:textId="77777777" w:rsidR="005B258E" w:rsidRPr="00C849F6" w:rsidRDefault="005B258E" w:rsidP="005B258E">
      <w:pPr>
        <w:spacing w:after="0" w:line="240" w:lineRule="auto"/>
        <w:rPr>
          <w:rFonts w:cstheme="minorHAnsi"/>
        </w:rPr>
      </w:pPr>
      <w:r w:rsidRPr="00C849F6">
        <w:rPr>
          <w:rFonts w:cstheme="minorHAnsi"/>
        </w:rPr>
        <w:t>Asesores de Comunicación y Marketing</w:t>
      </w:r>
      <w:r w:rsidRPr="00C849F6">
        <w:rPr>
          <w:rFonts w:cstheme="minorHAnsi"/>
        </w:rPr>
        <w:tab/>
      </w:r>
      <w:r w:rsidRPr="00C849F6">
        <w:rPr>
          <w:rFonts w:cstheme="minorHAnsi"/>
        </w:rPr>
        <w:tab/>
      </w:r>
      <w:r w:rsidRPr="00C849F6">
        <w:rPr>
          <w:rFonts w:cstheme="minorHAnsi"/>
        </w:rPr>
        <w:tab/>
        <w:t>TOMRA Sorting GmbH </w:t>
      </w:r>
      <w:r w:rsidRPr="00C849F6">
        <w:rPr>
          <w:rFonts w:cstheme="minorHAnsi"/>
        </w:rPr>
        <w:tab/>
      </w:r>
    </w:p>
    <w:p w14:paraId="6B7E5CAC" w14:textId="77777777" w:rsidR="005B258E" w:rsidRPr="003A75FD" w:rsidRDefault="005B258E" w:rsidP="005B258E">
      <w:pPr>
        <w:spacing w:after="0" w:line="240" w:lineRule="auto"/>
        <w:rPr>
          <w:rFonts w:cstheme="minorHAnsi"/>
          <w:lang w:val="de-DE"/>
        </w:rPr>
      </w:pPr>
      <w:r w:rsidRPr="00C849F6">
        <w:rPr>
          <w:rFonts w:cstheme="minorHAnsi"/>
        </w:rPr>
        <w:t>Avda. Ramón y Cajal, 27</w:t>
      </w:r>
      <w:r w:rsidRPr="00C849F6">
        <w:rPr>
          <w:rFonts w:cstheme="minorHAnsi"/>
        </w:rPr>
        <w:tab/>
        <w:t xml:space="preserve"> - 28016 MADRID</w:t>
      </w:r>
      <w:r w:rsidRPr="00C849F6">
        <w:rPr>
          <w:rFonts w:cstheme="minorHAnsi"/>
        </w:rPr>
        <w:tab/>
      </w:r>
      <w:r w:rsidRPr="00C849F6">
        <w:rPr>
          <w:rFonts w:cstheme="minorHAnsi"/>
        </w:rPr>
        <w:tab/>
        <w:t xml:space="preserve">Otto-Hahn-Str. </w:t>
      </w:r>
      <w:r w:rsidRPr="003A75FD">
        <w:rPr>
          <w:rFonts w:cstheme="minorHAnsi"/>
          <w:lang w:val="de-DE"/>
        </w:rPr>
        <w:t>2-6, 56218 Mülheim Kärlich,</w:t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  <w:t>Alemania</w:t>
      </w:r>
    </w:p>
    <w:p w14:paraId="69B61683" w14:textId="77777777" w:rsidR="005B258E" w:rsidRPr="003A75FD" w:rsidRDefault="005B258E" w:rsidP="005B258E">
      <w:pPr>
        <w:spacing w:after="0" w:line="240" w:lineRule="auto"/>
        <w:rPr>
          <w:rFonts w:cstheme="minorHAnsi"/>
          <w:lang w:val="de-DE"/>
        </w:rPr>
      </w:pPr>
      <w:r w:rsidRPr="003A75FD">
        <w:rPr>
          <w:rFonts w:cstheme="minorHAnsi"/>
          <w:lang w:val="de-DE"/>
        </w:rPr>
        <w:t>Tel: (+34) 91 415 30 20</w:t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</w:r>
      <w:r w:rsidRPr="003A75FD">
        <w:rPr>
          <w:rFonts w:cstheme="minorHAnsi"/>
          <w:lang w:val="de-DE"/>
        </w:rPr>
        <w:tab/>
        <w:t>T: (+49) 2630 9150 453</w:t>
      </w:r>
    </w:p>
    <w:p w14:paraId="098A8C50" w14:textId="77777777" w:rsidR="005B258E" w:rsidRPr="00FD2FEB" w:rsidRDefault="005B258E" w:rsidP="005B258E">
      <w:pPr>
        <w:spacing w:after="0" w:line="240" w:lineRule="auto"/>
        <w:rPr>
          <w:rFonts w:cstheme="minorHAnsi"/>
          <w:lang w:val="de-DE"/>
        </w:rPr>
      </w:pPr>
      <w:r w:rsidRPr="00FD2FEB">
        <w:rPr>
          <w:rFonts w:cstheme="minorHAnsi"/>
          <w:lang w:val="de-DE"/>
        </w:rPr>
        <w:t xml:space="preserve">E-Mail: </w:t>
      </w:r>
      <w:hyperlink r:id="rId14" w:history="1">
        <w:r w:rsidRPr="00FD2FEB">
          <w:rPr>
            <w:rStyle w:val="Hipervnculo"/>
            <w:rFonts w:cstheme="minorHAnsi"/>
            <w:lang w:val="de-DE"/>
          </w:rPr>
          <w:t>nmarti@alarconyharris.com</w:t>
        </w:r>
      </w:hyperlink>
      <w:r w:rsidRPr="00FD2FEB">
        <w:rPr>
          <w:rFonts w:cstheme="minorHAnsi"/>
          <w:lang w:val="de-DE"/>
        </w:rPr>
        <w:t xml:space="preserve"> </w:t>
      </w:r>
      <w:r w:rsidRPr="00FD2FEB">
        <w:rPr>
          <w:rFonts w:cstheme="minorHAnsi"/>
          <w:lang w:val="de-DE"/>
        </w:rPr>
        <w:tab/>
      </w:r>
      <w:r w:rsidRPr="00FD2FEB">
        <w:rPr>
          <w:rFonts w:cstheme="minorHAnsi"/>
          <w:lang w:val="de-DE"/>
        </w:rPr>
        <w:tab/>
      </w:r>
      <w:r w:rsidRPr="00FD2FEB">
        <w:rPr>
          <w:rFonts w:cstheme="minorHAnsi"/>
          <w:lang w:val="de-DE"/>
        </w:rPr>
        <w:tab/>
        <w:t>E-mail: </w:t>
      </w:r>
      <w:hyperlink r:id="rId15" w:history="1">
        <w:r w:rsidRPr="00FD2FEB">
          <w:rPr>
            <w:rStyle w:val="Hipervnculo"/>
            <w:rFonts w:cstheme="minorHAnsi"/>
            <w:lang w:val="de-DE"/>
          </w:rPr>
          <w:t>michele.wiemer@tomra.com</w:t>
        </w:r>
      </w:hyperlink>
    </w:p>
    <w:p w14:paraId="31E35B68" w14:textId="63B4B1C7" w:rsidR="005B258E" w:rsidRPr="00C849F6" w:rsidRDefault="005B258E" w:rsidP="005B258E">
      <w:pPr>
        <w:pStyle w:val="Sinespaciado"/>
      </w:pPr>
      <w:r w:rsidRPr="001E18FF">
        <w:rPr>
          <w:rFonts w:asciiTheme="minorHAnsi" w:hAnsiTheme="minorHAnsi" w:cstheme="minorHAnsi"/>
        </w:rPr>
        <w:t>Web:</w:t>
      </w:r>
      <w:r w:rsidRPr="00C849F6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16" w:history="1">
        <w:r w:rsidRPr="00C849F6">
          <w:rPr>
            <w:rStyle w:val="Hipervnculo"/>
            <w:rFonts w:asciiTheme="minorHAnsi" w:hAnsiTheme="minorHAnsi" w:cstheme="minorHAnsi"/>
          </w:rPr>
          <w:t>www.alarconyharris.com</w:t>
        </w:r>
      </w:hyperlink>
      <w:r w:rsidRPr="00C849F6">
        <w:rPr>
          <w:rFonts w:asciiTheme="minorHAnsi" w:hAnsiTheme="minorHAnsi" w:cstheme="minorHAnsi"/>
        </w:rPr>
        <w:tab/>
      </w:r>
      <w:r w:rsidRPr="00C849F6">
        <w:rPr>
          <w:rFonts w:asciiTheme="minorHAnsi" w:hAnsiTheme="minorHAnsi" w:cstheme="minorHAnsi"/>
        </w:rPr>
        <w:tab/>
      </w:r>
      <w:r w:rsidRPr="00C849F6">
        <w:rPr>
          <w:rFonts w:asciiTheme="minorHAnsi" w:hAnsiTheme="minorHAnsi" w:cstheme="minorHAnsi"/>
        </w:rPr>
        <w:tab/>
      </w:r>
      <w:r w:rsidRPr="00C849F6">
        <w:rPr>
          <w:rFonts w:asciiTheme="minorHAnsi" w:hAnsiTheme="minorHAnsi" w:cstheme="minorHAnsi"/>
        </w:rPr>
        <w:tab/>
        <w:t xml:space="preserve">Web: </w:t>
      </w:r>
      <w:hyperlink r:id="rId17" w:history="1">
        <w:r w:rsidRPr="00C849F6">
          <w:rPr>
            <w:rStyle w:val="Hipervnculo"/>
            <w:rFonts w:asciiTheme="minorHAnsi" w:hAnsiTheme="minorHAnsi" w:cstheme="minorHAnsi"/>
          </w:rPr>
          <w:t>www.TOMRA.com/recycling</w:t>
        </w:r>
      </w:hyperlink>
    </w:p>
    <w:sectPr w:rsidR="005B258E" w:rsidRPr="00C849F6" w:rsidSect="00540CB1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F803" w14:textId="77777777" w:rsidR="000333C3" w:rsidRDefault="000333C3" w:rsidP="00350AAB">
      <w:pPr>
        <w:spacing w:after="0" w:line="240" w:lineRule="auto"/>
      </w:pPr>
      <w:r>
        <w:separator/>
      </w:r>
    </w:p>
  </w:endnote>
  <w:endnote w:type="continuationSeparator" w:id="0">
    <w:p w14:paraId="6D63C8E3" w14:textId="77777777" w:rsidR="000333C3" w:rsidRDefault="000333C3" w:rsidP="0035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F614" w14:textId="77777777" w:rsidR="000033B6" w:rsidRDefault="000033B6">
    <w:pPr>
      <w:pStyle w:val="Piedepgina"/>
      <w:rPr>
        <w:vertAlign w:val="superscript"/>
      </w:rPr>
    </w:pPr>
  </w:p>
  <w:p w14:paraId="5A72B2BF" w14:textId="11B490FD" w:rsidR="00DD2EF3" w:rsidRDefault="00350AAB">
    <w:pPr>
      <w:pStyle w:val="Piedepgina"/>
      <w:rPr>
        <w:vertAlign w:val="superscript"/>
      </w:rPr>
    </w:pPr>
    <w:r>
      <w:rPr>
        <w:vertAlign w:val="superscript"/>
      </w:rPr>
      <w:t>1</w:t>
    </w:r>
    <w:r>
      <w:t xml:space="preserve"> </w:t>
    </w:r>
    <w:r w:rsidR="00DD2EF3">
      <w:rPr>
        <w:vertAlign w:val="superscript"/>
      </w:rPr>
      <w:fldChar w:fldCharType="begin"/>
    </w:r>
    <w:r w:rsidR="00DD2EF3">
      <w:rPr>
        <w:vertAlign w:val="superscript"/>
      </w:rPr>
      <w:instrText xml:space="preserve"> HYPERLINK "https://www.european-aluminium.eu/media/3263/european-aluminium-circular-aluminium-action-plan.pdf 2" </w:instrText>
    </w:r>
  </w:p>
  <w:p w14:paraId="7D403DE6" w14:textId="77777777" w:rsidR="00DD2EF3" w:rsidRPr="00576C84" w:rsidRDefault="00DD2EF3">
    <w:pPr>
      <w:pStyle w:val="Piedepgina"/>
      <w:rPr>
        <w:rStyle w:val="Hipervnculo"/>
        <w:vertAlign w:val="superscript"/>
      </w:rPr>
    </w:pPr>
    <w:r>
      <w:rPr>
        <w:vertAlign w:val="superscript"/>
      </w:rPr>
      <w:fldChar w:fldCharType="separate"/>
    </w:r>
    <w:r>
      <w:rPr>
        <w:rStyle w:val="Hipervnculo"/>
        <w:vertAlign w:val="superscript"/>
      </w:rPr>
      <w:t xml:space="preserve">https://www.european-aluminium.eu/media/3263/european-aluminium-circular-aluminium-action-plan.pdf </w:t>
    </w:r>
  </w:p>
  <w:p w14:paraId="5A03EE6D" w14:textId="77777777" w:rsidR="00C80E82" w:rsidRDefault="00DD2EF3">
    <w:pPr>
      <w:pStyle w:val="Piedepgina"/>
      <w:rPr>
        <w:vertAlign w:val="superscript"/>
      </w:rPr>
    </w:pPr>
    <w:r>
      <w:rPr>
        <w:rStyle w:val="Hipervnculo"/>
        <w:vertAlign w:val="superscript"/>
      </w:rPr>
      <w:t>2</w:t>
    </w:r>
    <w:r>
      <w:rPr>
        <w:vertAlign w:val="superscript"/>
      </w:rPr>
      <w:fldChar w:fldCharType="end"/>
    </w:r>
    <w:r>
      <w:rPr>
        <w:vertAlign w:val="superscript"/>
      </w:rPr>
      <w:t xml:space="preserve"> </w:t>
    </w:r>
    <w:r w:rsidR="00C80E82">
      <w:rPr>
        <w:vertAlign w:val="superscript"/>
      </w:rPr>
      <w:fldChar w:fldCharType="begin"/>
    </w:r>
    <w:r w:rsidR="00C80E82">
      <w:rPr>
        <w:vertAlign w:val="superscript"/>
      </w:rPr>
      <w:instrText xml:space="preserve"> HYPERLINK "https://www.european-aluminium.eu/media/3263/european-aluminium-circular-aluminium-action-plan.pdf 3" </w:instrText>
    </w:r>
  </w:p>
  <w:p w14:paraId="63DEC175" w14:textId="77777777" w:rsidR="00C80E82" w:rsidRPr="00576C84" w:rsidRDefault="00C80E82">
    <w:pPr>
      <w:pStyle w:val="Piedepgina"/>
      <w:rPr>
        <w:rStyle w:val="Hipervnculo"/>
        <w:vertAlign w:val="superscript"/>
      </w:rPr>
    </w:pPr>
    <w:r>
      <w:rPr>
        <w:vertAlign w:val="superscript"/>
      </w:rPr>
      <w:fldChar w:fldCharType="separate"/>
    </w:r>
    <w:r>
      <w:rPr>
        <w:rStyle w:val="Hipervnculo"/>
        <w:vertAlign w:val="superscript"/>
      </w:rPr>
      <w:t xml:space="preserve">https://www.european-aluminium.eu/media/3263/european-aluminium-circular-aluminium-action-plan.pdf </w:t>
    </w:r>
  </w:p>
  <w:p w14:paraId="2685D5EC" w14:textId="3FF75577" w:rsidR="00C80E82" w:rsidRDefault="00C80E82">
    <w:pPr>
      <w:pStyle w:val="Piedepgina"/>
      <w:rPr>
        <w:rStyle w:val="normaltextrun"/>
        <w:rFonts w:ascii="Calibri" w:hAnsi="Calibri"/>
        <w:color w:val="000000"/>
        <w:shd w:val="clear" w:color="auto" w:fill="EDEBE9"/>
      </w:rPr>
    </w:pPr>
    <w:r>
      <w:rPr>
        <w:rStyle w:val="Hipervnculo"/>
        <w:vertAlign w:val="superscript"/>
      </w:rPr>
      <w:t>3</w:t>
    </w:r>
    <w:r>
      <w:rPr>
        <w:vertAlign w:val="superscript"/>
      </w:rPr>
      <w:fldChar w:fldCharType="end"/>
    </w:r>
    <w:r>
      <w:rPr>
        <w:vertAlign w:val="superscript"/>
      </w:rPr>
      <w:t xml:space="preserve"> </w:t>
    </w:r>
    <w:hyperlink r:id="rId1" w:history="1">
      <w:r>
        <w:rPr>
          <w:rStyle w:val="Hipervnculo"/>
          <w:vertAlign w:val="superscript"/>
        </w:rPr>
        <w:t>https://www.recyclingtoday.com/article/isri2022-aluminum-session-spotlights-challenges/</w:t>
      </w:r>
    </w:hyperlink>
    <w:r>
      <w:rPr>
        <w:rStyle w:val="normaltextrun"/>
        <w:rFonts w:ascii="Calibri" w:hAnsi="Calibri"/>
        <w:color w:val="000000"/>
        <w:shd w:val="clear" w:color="auto" w:fill="EDEBE9"/>
      </w:rPr>
      <w:t xml:space="preserve"> </w:t>
    </w:r>
  </w:p>
  <w:p w14:paraId="5187FFFC" w14:textId="4318FACE" w:rsidR="00B67455" w:rsidRPr="00E23A9C" w:rsidRDefault="00B67455">
    <w:pPr>
      <w:pStyle w:val="Piedepgina"/>
      <w:rPr>
        <w:rStyle w:val="Hipervnculo"/>
        <w:sz w:val="14"/>
        <w:szCs w:val="14"/>
        <w:vertAlign w:val="superscript"/>
      </w:rPr>
    </w:pPr>
    <w:r>
      <w:rPr>
        <w:rStyle w:val="Hipervnculo"/>
        <w:sz w:val="14"/>
        <w:szCs w:val="14"/>
      </w:rPr>
      <w:t>4 https://www.european-aluminium.eu/media/3263/european-aluminium-circular-aluminium-action-plan.pdf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3A92" w14:textId="77777777" w:rsidR="000333C3" w:rsidRDefault="000333C3" w:rsidP="00350AAB">
      <w:pPr>
        <w:spacing w:after="0" w:line="240" w:lineRule="auto"/>
      </w:pPr>
      <w:r>
        <w:separator/>
      </w:r>
    </w:p>
  </w:footnote>
  <w:footnote w:type="continuationSeparator" w:id="0">
    <w:p w14:paraId="3F097FFF" w14:textId="77777777" w:rsidR="000333C3" w:rsidRDefault="000333C3" w:rsidP="0035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F52E" w14:textId="5C5CE963" w:rsidR="00A90BD0" w:rsidRDefault="00A90BD0">
    <w:pPr>
      <w:pStyle w:val="Encabezado"/>
    </w:pPr>
    <w:r>
      <w:rPr>
        <w:noProof/>
      </w:rPr>
      <w:drawing>
        <wp:inline distT="0" distB="0" distL="0" distR="0" wp14:anchorId="40BC085E" wp14:editId="6D3A05E3">
          <wp:extent cx="2114503" cy="5778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063" cy="579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7FC"/>
    <w:multiLevelType w:val="hybridMultilevel"/>
    <w:tmpl w:val="AC42EA8C"/>
    <w:lvl w:ilvl="0" w:tplc="F468E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68E7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36FB"/>
    <w:multiLevelType w:val="hybridMultilevel"/>
    <w:tmpl w:val="1F88E98A"/>
    <w:lvl w:ilvl="0" w:tplc="F468E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858805">
    <w:abstractNumId w:val="1"/>
  </w:num>
  <w:num w:numId="2" w16cid:durableId="69392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2E"/>
    <w:rsid w:val="000033B6"/>
    <w:rsid w:val="00003C5C"/>
    <w:rsid w:val="00015B74"/>
    <w:rsid w:val="00020AF4"/>
    <w:rsid w:val="000264DA"/>
    <w:rsid w:val="00026933"/>
    <w:rsid w:val="00030BF7"/>
    <w:rsid w:val="000333C3"/>
    <w:rsid w:val="00033EE9"/>
    <w:rsid w:val="000350C7"/>
    <w:rsid w:val="00035191"/>
    <w:rsid w:val="00052FD0"/>
    <w:rsid w:val="0005607C"/>
    <w:rsid w:val="00072652"/>
    <w:rsid w:val="00076CA9"/>
    <w:rsid w:val="000805FA"/>
    <w:rsid w:val="000834A4"/>
    <w:rsid w:val="00085815"/>
    <w:rsid w:val="00085EF4"/>
    <w:rsid w:val="00093107"/>
    <w:rsid w:val="000A54A2"/>
    <w:rsid w:val="000B43D4"/>
    <w:rsid w:val="000C3861"/>
    <w:rsid w:val="000E087E"/>
    <w:rsid w:val="000E3D5E"/>
    <w:rsid w:val="000E5C21"/>
    <w:rsid w:val="001177BB"/>
    <w:rsid w:val="001318FD"/>
    <w:rsid w:val="001624AD"/>
    <w:rsid w:val="0016288A"/>
    <w:rsid w:val="00170659"/>
    <w:rsid w:val="001714C4"/>
    <w:rsid w:val="00171E86"/>
    <w:rsid w:val="00176177"/>
    <w:rsid w:val="001875CB"/>
    <w:rsid w:val="00192D98"/>
    <w:rsid w:val="001B0633"/>
    <w:rsid w:val="001C106E"/>
    <w:rsid w:val="001E18FF"/>
    <w:rsid w:val="001E32C5"/>
    <w:rsid w:val="001E49CE"/>
    <w:rsid w:val="001E5F63"/>
    <w:rsid w:val="001E74AD"/>
    <w:rsid w:val="001F0253"/>
    <w:rsid w:val="001F0505"/>
    <w:rsid w:val="001F6257"/>
    <w:rsid w:val="00200DF3"/>
    <w:rsid w:val="00205E32"/>
    <w:rsid w:val="002118DA"/>
    <w:rsid w:val="002214C9"/>
    <w:rsid w:val="00232A64"/>
    <w:rsid w:val="00236FB1"/>
    <w:rsid w:val="00241B23"/>
    <w:rsid w:val="00254676"/>
    <w:rsid w:val="00254C7F"/>
    <w:rsid w:val="00255BF1"/>
    <w:rsid w:val="0027605B"/>
    <w:rsid w:val="002762BE"/>
    <w:rsid w:val="00284F5D"/>
    <w:rsid w:val="00292D1D"/>
    <w:rsid w:val="00297DF1"/>
    <w:rsid w:val="002A2046"/>
    <w:rsid w:val="002A719A"/>
    <w:rsid w:val="002B4894"/>
    <w:rsid w:val="002C7DB0"/>
    <w:rsid w:val="002D19DE"/>
    <w:rsid w:val="002D4210"/>
    <w:rsid w:val="002E5D81"/>
    <w:rsid w:val="002F7769"/>
    <w:rsid w:val="003010EC"/>
    <w:rsid w:val="00302489"/>
    <w:rsid w:val="00306428"/>
    <w:rsid w:val="00316B83"/>
    <w:rsid w:val="0032714E"/>
    <w:rsid w:val="0034322D"/>
    <w:rsid w:val="00347ADC"/>
    <w:rsid w:val="00350AAB"/>
    <w:rsid w:val="00354160"/>
    <w:rsid w:val="003619BD"/>
    <w:rsid w:val="00363EE6"/>
    <w:rsid w:val="00367A48"/>
    <w:rsid w:val="00372C25"/>
    <w:rsid w:val="00380E25"/>
    <w:rsid w:val="00385BB9"/>
    <w:rsid w:val="003936F9"/>
    <w:rsid w:val="003A03C6"/>
    <w:rsid w:val="003A4990"/>
    <w:rsid w:val="003A6065"/>
    <w:rsid w:val="003A75FD"/>
    <w:rsid w:val="003B6BCF"/>
    <w:rsid w:val="003C7424"/>
    <w:rsid w:val="003D1707"/>
    <w:rsid w:val="003D68AB"/>
    <w:rsid w:val="003D73D3"/>
    <w:rsid w:val="003E3323"/>
    <w:rsid w:val="003F7C1E"/>
    <w:rsid w:val="00400A0C"/>
    <w:rsid w:val="00413933"/>
    <w:rsid w:val="00421788"/>
    <w:rsid w:val="004218FB"/>
    <w:rsid w:val="0042325A"/>
    <w:rsid w:val="00442CF9"/>
    <w:rsid w:val="0044311A"/>
    <w:rsid w:val="004474B0"/>
    <w:rsid w:val="00447D53"/>
    <w:rsid w:val="0045194F"/>
    <w:rsid w:val="004534CE"/>
    <w:rsid w:val="00454530"/>
    <w:rsid w:val="00455D3B"/>
    <w:rsid w:val="0046045B"/>
    <w:rsid w:val="00483876"/>
    <w:rsid w:val="00486C43"/>
    <w:rsid w:val="00491A73"/>
    <w:rsid w:val="004A7DB4"/>
    <w:rsid w:val="004B3678"/>
    <w:rsid w:val="004B7378"/>
    <w:rsid w:val="004F1039"/>
    <w:rsid w:val="004F4765"/>
    <w:rsid w:val="004F7F54"/>
    <w:rsid w:val="00503ACC"/>
    <w:rsid w:val="00504CBF"/>
    <w:rsid w:val="005133F3"/>
    <w:rsid w:val="00515157"/>
    <w:rsid w:val="00517C18"/>
    <w:rsid w:val="00522781"/>
    <w:rsid w:val="0052302E"/>
    <w:rsid w:val="00524C63"/>
    <w:rsid w:val="00536398"/>
    <w:rsid w:val="00540CB1"/>
    <w:rsid w:val="00564BC3"/>
    <w:rsid w:val="005667B2"/>
    <w:rsid w:val="00570601"/>
    <w:rsid w:val="00570B67"/>
    <w:rsid w:val="00576CA9"/>
    <w:rsid w:val="005B0E50"/>
    <w:rsid w:val="005B258E"/>
    <w:rsid w:val="005B3EAF"/>
    <w:rsid w:val="005B5CCB"/>
    <w:rsid w:val="005C59B4"/>
    <w:rsid w:val="005D086F"/>
    <w:rsid w:val="005D0E21"/>
    <w:rsid w:val="005D5927"/>
    <w:rsid w:val="005D6AF1"/>
    <w:rsid w:val="005D6C4D"/>
    <w:rsid w:val="005F4472"/>
    <w:rsid w:val="005F4C3E"/>
    <w:rsid w:val="005F59DD"/>
    <w:rsid w:val="006003DB"/>
    <w:rsid w:val="00600E8B"/>
    <w:rsid w:val="006110B9"/>
    <w:rsid w:val="006126ED"/>
    <w:rsid w:val="00615B4D"/>
    <w:rsid w:val="00616DDD"/>
    <w:rsid w:val="006242DC"/>
    <w:rsid w:val="00640C6A"/>
    <w:rsid w:val="00647E3C"/>
    <w:rsid w:val="00650C18"/>
    <w:rsid w:val="00654034"/>
    <w:rsid w:val="00682E82"/>
    <w:rsid w:val="00691AAC"/>
    <w:rsid w:val="00696CD5"/>
    <w:rsid w:val="006B08A8"/>
    <w:rsid w:val="006B3548"/>
    <w:rsid w:val="006D3B2C"/>
    <w:rsid w:val="006E332C"/>
    <w:rsid w:val="006E615C"/>
    <w:rsid w:val="006F0B51"/>
    <w:rsid w:val="006F602B"/>
    <w:rsid w:val="00702FAD"/>
    <w:rsid w:val="00704CEB"/>
    <w:rsid w:val="00705F52"/>
    <w:rsid w:val="00712592"/>
    <w:rsid w:val="00713418"/>
    <w:rsid w:val="00726BBF"/>
    <w:rsid w:val="00731AAE"/>
    <w:rsid w:val="007339EF"/>
    <w:rsid w:val="0074099F"/>
    <w:rsid w:val="00742AF2"/>
    <w:rsid w:val="0074661D"/>
    <w:rsid w:val="007601DC"/>
    <w:rsid w:val="00760C76"/>
    <w:rsid w:val="00776CE0"/>
    <w:rsid w:val="00781C33"/>
    <w:rsid w:val="00783042"/>
    <w:rsid w:val="00797407"/>
    <w:rsid w:val="007A3999"/>
    <w:rsid w:val="007A6407"/>
    <w:rsid w:val="007B1EA9"/>
    <w:rsid w:val="007B2E87"/>
    <w:rsid w:val="007B31A4"/>
    <w:rsid w:val="007B3F68"/>
    <w:rsid w:val="007C445F"/>
    <w:rsid w:val="007C616C"/>
    <w:rsid w:val="007F4260"/>
    <w:rsid w:val="007F7D27"/>
    <w:rsid w:val="00807DE3"/>
    <w:rsid w:val="00810F09"/>
    <w:rsid w:val="00815047"/>
    <w:rsid w:val="00827182"/>
    <w:rsid w:val="00832815"/>
    <w:rsid w:val="00840052"/>
    <w:rsid w:val="008436A0"/>
    <w:rsid w:val="00844B99"/>
    <w:rsid w:val="00844CE5"/>
    <w:rsid w:val="00846D75"/>
    <w:rsid w:val="00847D56"/>
    <w:rsid w:val="008512F9"/>
    <w:rsid w:val="00851F2A"/>
    <w:rsid w:val="00855CAD"/>
    <w:rsid w:val="00866D9C"/>
    <w:rsid w:val="00876264"/>
    <w:rsid w:val="00893A9D"/>
    <w:rsid w:val="0089418F"/>
    <w:rsid w:val="00894F81"/>
    <w:rsid w:val="008A3A46"/>
    <w:rsid w:val="008B23F8"/>
    <w:rsid w:val="008B2FF4"/>
    <w:rsid w:val="008B4EEA"/>
    <w:rsid w:val="008C7F8E"/>
    <w:rsid w:val="008D29B8"/>
    <w:rsid w:val="008D2F67"/>
    <w:rsid w:val="008D3002"/>
    <w:rsid w:val="008D3E75"/>
    <w:rsid w:val="008E4090"/>
    <w:rsid w:val="008E6C0F"/>
    <w:rsid w:val="008F7ED6"/>
    <w:rsid w:val="00905F25"/>
    <w:rsid w:val="00916441"/>
    <w:rsid w:val="0093223B"/>
    <w:rsid w:val="009438E6"/>
    <w:rsid w:val="00966240"/>
    <w:rsid w:val="00983CC8"/>
    <w:rsid w:val="00987470"/>
    <w:rsid w:val="00992C47"/>
    <w:rsid w:val="009941A6"/>
    <w:rsid w:val="009F1F5E"/>
    <w:rsid w:val="009F57F1"/>
    <w:rsid w:val="009F6EC5"/>
    <w:rsid w:val="00A04913"/>
    <w:rsid w:val="00A14218"/>
    <w:rsid w:val="00A17BC6"/>
    <w:rsid w:val="00A2742B"/>
    <w:rsid w:val="00A33564"/>
    <w:rsid w:val="00A454CE"/>
    <w:rsid w:val="00A47611"/>
    <w:rsid w:val="00A47711"/>
    <w:rsid w:val="00A561C5"/>
    <w:rsid w:val="00A61386"/>
    <w:rsid w:val="00A62920"/>
    <w:rsid w:val="00A62FDA"/>
    <w:rsid w:val="00A64C2E"/>
    <w:rsid w:val="00A65765"/>
    <w:rsid w:val="00A72C7C"/>
    <w:rsid w:val="00A74B8E"/>
    <w:rsid w:val="00A7792F"/>
    <w:rsid w:val="00A81733"/>
    <w:rsid w:val="00A81DF0"/>
    <w:rsid w:val="00A868E7"/>
    <w:rsid w:val="00A87503"/>
    <w:rsid w:val="00A90BD0"/>
    <w:rsid w:val="00A91211"/>
    <w:rsid w:val="00A94C2D"/>
    <w:rsid w:val="00AA40D2"/>
    <w:rsid w:val="00AC33C1"/>
    <w:rsid w:val="00AC6FC9"/>
    <w:rsid w:val="00AD4A6E"/>
    <w:rsid w:val="00AE590B"/>
    <w:rsid w:val="00B006B5"/>
    <w:rsid w:val="00B10AFB"/>
    <w:rsid w:val="00B2374B"/>
    <w:rsid w:val="00B27EB4"/>
    <w:rsid w:val="00B50586"/>
    <w:rsid w:val="00B63131"/>
    <w:rsid w:val="00B661FE"/>
    <w:rsid w:val="00B67455"/>
    <w:rsid w:val="00B7751B"/>
    <w:rsid w:val="00B823D2"/>
    <w:rsid w:val="00B8529C"/>
    <w:rsid w:val="00BA1BD9"/>
    <w:rsid w:val="00BA314C"/>
    <w:rsid w:val="00BA44CB"/>
    <w:rsid w:val="00BB0F29"/>
    <w:rsid w:val="00BB4B23"/>
    <w:rsid w:val="00BC617B"/>
    <w:rsid w:val="00BD0739"/>
    <w:rsid w:val="00BD3AEE"/>
    <w:rsid w:val="00BE04A0"/>
    <w:rsid w:val="00BE61A6"/>
    <w:rsid w:val="00BF4F67"/>
    <w:rsid w:val="00C035CB"/>
    <w:rsid w:val="00C22132"/>
    <w:rsid w:val="00C3226D"/>
    <w:rsid w:val="00C33B75"/>
    <w:rsid w:val="00C33F8F"/>
    <w:rsid w:val="00C4243F"/>
    <w:rsid w:val="00C42C98"/>
    <w:rsid w:val="00C51CC0"/>
    <w:rsid w:val="00C523B9"/>
    <w:rsid w:val="00C55504"/>
    <w:rsid w:val="00C61A89"/>
    <w:rsid w:val="00C67213"/>
    <w:rsid w:val="00C715A8"/>
    <w:rsid w:val="00C80E82"/>
    <w:rsid w:val="00C8438C"/>
    <w:rsid w:val="00C849F6"/>
    <w:rsid w:val="00C84F88"/>
    <w:rsid w:val="00C93C12"/>
    <w:rsid w:val="00C96CF6"/>
    <w:rsid w:val="00CA6443"/>
    <w:rsid w:val="00CC2906"/>
    <w:rsid w:val="00CD1A69"/>
    <w:rsid w:val="00CE03B0"/>
    <w:rsid w:val="00CE25EA"/>
    <w:rsid w:val="00CF6F41"/>
    <w:rsid w:val="00D01F6B"/>
    <w:rsid w:val="00D02291"/>
    <w:rsid w:val="00D20A7A"/>
    <w:rsid w:val="00D24244"/>
    <w:rsid w:val="00D25225"/>
    <w:rsid w:val="00D350FD"/>
    <w:rsid w:val="00D37047"/>
    <w:rsid w:val="00D44D07"/>
    <w:rsid w:val="00D46496"/>
    <w:rsid w:val="00D475AA"/>
    <w:rsid w:val="00D54EEE"/>
    <w:rsid w:val="00D577D4"/>
    <w:rsid w:val="00D6219B"/>
    <w:rsid w:val="00D640D2"/>
    <w:rsid w:val="00D70634"/>
    <w:rsid w:val="00D95C04"/>
    <w:rsid w:val="00D97D48"/>
    <w:rsid w:val="00DA70C4"/>
    <w:rsid w:val="00DA721C"/>
    <w:rsid w:val="00DC6BDE"/>
    <w:rsid w:val="00DD2EF3"/>
    <w:rsid w:val="00DD3122"/>
    <w:rsid w:val="00DE6358"/>
    <w:rsid w:val="00DF4FAC"/>
    <w:rsid w:val="00E013E1"/>
    <w:rsid w:val="00E15A14"/>
    <w:rsid w:val="00E20786"/>
    <w:rsid w:val="00E23A9C"/>
    <w:rsid w:val="00E24646"/>
    <w:rsid w:val="00E30F4B"/>
    <w:rsid w:val="00E37448"/>
    <w:rsid w:val="00E40E86"/>
    <w:rsid w:val="00E4433A"/>
    <w:rsid w:val="00E44A2A"/>
    <w:rsid w:val="00E50770"/>
    <w:rsid w:val="00E54735"/>
    <w:rsid w:val="00E56D6E"/>
    <w:rsid w:val="00E56F73"/>
    <w:rsid w:val="00E57C6F"/>
    <w:rsid w:val="00E627F7"/>
    <w:rsid w:val="00E63291"/>
    <w:rsid w:val="00E6687E"/>
    <w:rsid w:val="00E67EC2"/>
    <w:rsid w:val="00E757D6"/>
    <w:rsid w:val="00E75DF8"/>
    <w:rsid w:val="00E76149"/>
    <w:rsid w:val="00E87086"/>
    <w:rsid w:val="00E9175F"/>
    <w:rsid w:val="00E927AF"/>
    <w:rsid w:val="00E9301F"/>
    <w:rsid w:val="00EA16CF"/>
    <w:rsid w:val="00EA2E40"/>
    <w:rsid w:val="00EA72E1"/>
    <w:rsid w:val="00EB2A09"/>
    <w:rsid w:val="00EB2AB5"/>
    <w:rsid w:val="00EB66F4"/>
    <w:rsid w:val="00EB6C88"/>
    <w:rsid w:val="00EC263C"/>
    <w:rsid w:val="00ED601E"/>
    <w:rsid w:val="00ED6A1D"/>
    <w:rsid w:val="00EE3CA4"/>
    <w:rsid w:val="00EF5E9C"/>
    <w:rsid w:val="00F01A00"/>
    <w:rsid w:val="00F0543D"/>
    <w:rsid w:val="00F0758E"/>
    <w:rsid w:val="00F16749"/>
    <w:rsid w:val="00F16E1B"/>
    <w:rsid w:val="00F173CC"/>
    <w:rsid w:val="00F203A2"/>
    <w:rsid w:val="00F24553"/>
    <w:rsid w:val="00F258AD"/>
    <w:rsid w:val="00F4349B"/>
    <w:rsid w:val="00F537AD"/>
    <w:rsid w:val="00F54BE1"/>
    <w:rsid w:val="00F57867"/>
    <w:rsid w:val="00F727F5"/>
    <w:rsid w:val="00F84875"/>
    <w:rsid w:val="00F917D4"/>
    <w:rsid w:val="00FA0EFB"/>
    <w:rsid w:val="00FA15EA"/>
    <w:rsid w:val="00FB58AB"/>
    <w:rsid w:val="00FD2FEB"/>
    <w:rsid w:val="00FE3EF3"/>
    <w:rsid w:val="00FF2550"/>
    <w:rsid w:val="00FF7CA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0108"/>
  <w15:chartTrackingRefBased/>
  <w15:docId w15:val="{38B215B1-F946-469C-BA47-8342126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3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0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2302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4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578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786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F203A2"/>
  </w:style>
  <w:style w:type="character" w:customStyle="1" w:styleId="eop">
    <w:name w:val="eop"/>
    <w:basedOn w:val="Fuentedeprrafopredeter"/>
    <w:rsid w:val="00F203A2"/>
  </w:style>
  <w:style w:type="character" w:styleId="Refdecomentario">
    <w:name w:val="annotation reference"/>
    <w:basedOn w:val="Fuentedeprrafopredeter"/>
    <w:uiPriority w:val="99"/>
    <w:semiHidden/>
    <w:unhideWhenUsed/>
    <w:rsid w:val="00AC33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3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3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3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3C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50A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AB"/>
  </w:style>
  <w:style w:type="paragraph" w:styleId="Piedepgina">
    <w:name w:val="footer"/>
    <w:basedOn w:val="Normal"/>
    <w:link w:val="PiedepginaCar"/>
    <w:uiPriority w:val="99"/>
    <w:unhideWhenUsed/>
    <w:rsid w:val="00350A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AAB"/>
  </w:style>
  <w:style w:type="character" w:styleId="Hipervnculovisitado">
    <w:name w:val="FollowedHyperlink"/>
    <w:basedOn w:val="Fuentedeprrafopredeter"/>
    <w:uiPriority w:val="99"/>
    <w:semiHidden/>
    <w:unhideWhenUsed/>
    <w:rsid w:val="00C80E8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23A9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258E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5B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84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-beta/12380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hyperlink" Target="http://www.TOMRA.com/recyc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arconyharr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TOMRA-Sorting-Recycling-183257172165234/" TargetMode="External"/><Relationship Id="rId5" Type="http://schemas.openxmlformats.org/officeDocument/2006/relationships/styles" Target="styles.xml"/><Relationship Id="rId15" Type="http://schemas.openxmlformats.org/officeDocument/2006/relationships/hyperlink" Target="mailto:michele.wiemer@tomra.com" TargetMode="External"/><Relationship Id="rId10" Type="http://schemas.openxmlformats.org/officeDocument/2006/relationships/hyperlink" Target="https://www.tomra.com/es-es/sorting/recyclin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marti@alarconyharr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cyclingtoday.com/article/isri2022-aluminum-session-spotlights-challeng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1921173AE14D8ABD091E02C37D46" ma:contentTypeVersion="13" ma:contentTypeDescription="Create a new document." ma:contentTypeScope="" ma:versionID="e9902681f56b222af0a3a0f5a26ce9b5">
  <xsd:schema xmlns:xsd="http://www.w3.org/2001/XMLSchema" xmlns:xs="http://www.w3.org/2001/XMLSchema" xmlns:p="http://schemas.microsoft.com/office/2006/metadata/properties" xmlns:ns2="25c13836-8947-49c7-9f6e-a92cfaa2d2a8" xmlns:ns3="a33c220f-fd0b-4a29-9621-450612705919" targetNamespace="http://schemas.microsoft.com/office/2006/metadata/properties" ma:root="true" ma:fieldsID="67b61b21c560a640bbafa483b1e49a56" ns2:_="" ns3:_="">
    <xsd:import namespace="25c13836-8947-49c7-9f6e-a92cfaa2d2a8"/>
    <xsd:import namespace="a33c220f-fd0b-4a29-9621-450612705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3836-8947-49c7-9f6e-a92cfaa2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220f-fd0b-4a29-9621-450612705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69D00-24E2-4794-9D99-530BD5B07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0F7B7-CE2E-4602-A53C-23640B35F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4EBD8-D61C-4454-AA62-FEC6A48AB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13836-8947-49c7-9f6e-a92cfaa2d2a8"/>
    <ds:schemaRef ds:uri="a33c220f-fd0b-4a29-9621-450612705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1530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Wiemer</dc:creator>
  <cp:keywords/>
  <dc:description/>
  <cp:lastModifiedBy>Marta Marin</cp:lastModifiedBy>
  <cp:revision>4</cp:revision>
  <dcterms:created xsi:type="dcterms:W3CDTF">2022-05-20T07:57:00Z</dcterms:created>
  <dcterms:modified xsi:type="dcterms:W3CDTF">2022-05-24T07:45:00Z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0x01010076CD1921173AE14D8ABD091E02C37D46</vt:lpwstr>
  </property>
</Properties>
</file>