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8C3B" w14:textId="77777777" w:rsidR="00BF62A4" w:rsidRDefault="00BF62A4" w:rsidP="006058F0">
      <w:pPr>
        <w:spacing w:line="288" w:lineRule="auto"/>
        <w:jc w:val="center"/>
        <w:rPr>
          <w:b/>
          <w:lang w:val="pt-PT"/>
        </w:rPr>
      </w:pPr>
    </w:p>
    <w:p w14:paraId="112ED9BD" w14:textId="02D79FF7" w:rsidR="00971AEA" w:rsidRPr="00971AEA" w:rsidRDefault="00971AEA" w:rsidP="00971AEA">
      <w:pPr>
        <w:numPr>
          <w:ilvl w:val="0"/>
          <w:numId w:val="0"/>
        </w:numPr>
        <w:spacing w:line="288" w:lineRule="auto"/>
        <w:jc w:val="center"/>
        <w:rPr>
          <w:b/>
          <w:lang w:val="pt-PT"/>
        </w:rPr>
      </w:pPr>
      <w:r w:rsidRPr="00971AEA">
        <w:rPr>
          <w:b/>
          <w:lang w:val="pt-PT"/>
        </w:rPr>
        <w:t>STADLER COMPLETA INSTALAÇÃO DE NOVA PLANTA MECÂNICA DE SEPARAÇÃO</w:t>
      </w:r>
      <w:r w:rsidR="00176C29">
        <w:rPr>
          <w:b/>
          <w:lang w:val="pt-PT"/>
        </w:rPr>
        <w:t xml:space="preserve"> DE RESÍDUOS NA ÁREA AMBIENTAL</w:t>
      </w:r>
    </w:p>
    <w:p w14:paraId="562E9992" w14:textId="09B28CB6" w:rsidR="009D752B" w:rsidRDefault="00971AEA" w:rsidP="00971AEA">
      <w:pPr>
        <w:numPr>
          <w:ilvl w:val="0"/>
          <w:numId w:val="0"/>
        </w:numPr>
        <w:spacing w:line="288" w:lineRule="auto"/>
        <w:jc w:val="center"/>
        <w:rPr>
          <w:b/>
          <w:lang w:val="pt-PT"/>
        </w:rPr>
      </w:pPr>
      <w:r w:rsidRPr="00971AEA">
        <w:rPr>
          <w:b/>
          <w:lang w:val="pt-PT"/>
        </w:rPr>
        <w:t>DE CA NA PUTXA, IBIZA</w:t>
      </w:r>
    </w:p>
    <w:p w14:paraId="21CCD79E" w14:textId="77777777" w:rsidR="00971AEA" w:rsidRDefault="00971AEA" w:rsidP="00971AEA">
      <w:pPr>
        <w:numPr>
          <w:ilvl w:val="0"/>
          <w:numId w:val="0"/>
        </w:numPr>
        <w:spacing w:line="288" w:lineRule="auto"/>
        <w:jc w:val="center"/>
        <w:rPr>
          <w:b/>
          <w:lang w:val="pt-PT"/>
        </w:rPr>
      </w:pPr>
    </w:p>
    <w:p w14:paraId="7A3881BB" w14:textId="61D3D97D" w:rsidR="00971AEA" w:rsidRPr="00971AEA" w:rsidRDefault="00AA73E1" w:rsidP="00971AEA">
      <w:pPr>
        <w:spacing w:after="240" w:line="288" w:lineRule="auto"/>
        <w:jc w:val="both"/>
        <w:rPr>
          <w:lang w:val="pt-PT"/>
        </w:rPr>
      </w:pPr>
      <w:r w:rsidRPr="00944D56">
        <w:rPr>
          <w:b/>
          <w:lang w:val="pt-PT"/>
        </w:rPr>
        <w:t xml:space="preserve">Altshausen, </w:t>
      </w:r>
      <w:r w:rsidR="00944D56" w:rsidRPr="00944D56">
        <w:rPr>
          <w:b/>
          <w:lang w:val="pt-PT"/>
        </w:rPr>
        <w:t>20</w:t>
      </w:r>
      <w:r w:rsidR="009D752B" w:rsidRPr="00944D56">
        <w:rPr>
          <w:b/>
          <w:lang w:val="pt-PT"/>
        </w:rPr>
        <w:t xml:space="preserve"> de</w:t>
      </w:r>
      <w:r w:rsidR="00971AEA" w:rsidRPr="00944D56">
        <w:rPr>
          <w:b/>
          <w:lang w:val="pt-PT"/>
        </w:rPr>
        <w:t xml:space="preserve"> abril</w:t>
      </w:r>
      <w:r w:rsidR="009D752B" w:rsidRPr="00944D56">
        <w:rPr>
          <w:b/>
          <w:lang w:val="pt-PT"/>
        </w:rPr>
        <w:t xml:space="preserve"> 2021</w:t>
      </w:r>
      <w:r w:rsidRPr="00654C51">
        <w:rPr>
          <w:b/>
          <w:lang w:val="pt-PT"/>
        </w:rPr>
        <w:t xml:space="preserve"> </w:t>
      </w:r>
      <w:r w:rsidR="00AD3FDC">
        <w:rPr>
          <w:b/>
          <w:lang w:val="pt-PT"/>
        </w:rPr>
        <w:t>–</w:t>
      </w:r>
      <w:r w:rsidR="00AD3FDC" w:rsidRPr="00654C51">
        <w:rPr>
          <w:b/>
          <w:lang w:val="pt-PT"/>
        </w:rPr>
        <w:t xml:space="preserve"> </w:t>
      </w:r>
      <w:r w:rsidR="00971AEA" w:rsidRPr="00971AEA">
        <w:rPr>
          <w:lang w:val="pt-PT"/>
        </w:rPr>
        <w:t>A STADLER projetou e instalou a nova planta de triagem mecânica de 50.000 m</w:t>
      </w:r>
      <w:r w:rsidR="00971AEA" w:rsidRPr="00714057">
        <w:rPr>
          <w:vertAlign w:val="superscript"/>
          <w:lang w:val="pt-PT"/>
        </w:rPr>
        <w:t>2</w:t>
      </w:r>
      <w:r w:rsidR="00971AEA" w:rsidRPr="00971AEA">
        <w:rPr>
          <w:lang w:val="pt-PT"/>
        </w:rPr>
        <w:t xml:space="preserve"> que atenderá a ilha de Ibiza. A instalação foi </w:t>
      </w:r>
      <w:r w:rsidR="002F2EF2">
        <w:rPr>
          <w:lang w:val="pt-PT"/>
        </w:rPr>
        <w:t>finalizada</w:t>
      </w:r>
      <w:bookmarkStart w:id="0" w:name="_GoBack"/>
      <w:bookmarkEnd w:id="0"/>
      <w:r w:rsidR="00971AEA" w:rsidRPr="00971AEA">
        <w:rPr>
          <w:lang w:val="pt-PT"/>
        </w:rPr>
        <w:t xml:space="preserve"> em dezembro de 2020 pela UTE (consórcio temporário) GIREF, que é responsável pelo planejamento, construção e gestão das instalações do Plano de Gerenciamento de Resíduos de Ibiza e Formentera.</w:t>
      </w:r>
    </w:p>
    <w:p w14:paraId="64D5DEDD" w14:textId="29DD15A8" w:rsidR="00971AEA" w:rsidRPr="00971AEA" w:rsidRDefault="00971AEA" w:rsidP="00971AEA">
      <w:pPr>
        <w:spacing w:after="240" w:line="288" w:lineRule="auto"/>
        <w:jc w:val="both"/>
        <w:rPr>
          <w:lang w:val="pt-PT"/>
        </w:rPr>
      </w:pPr>
      <w:r w:rsidRPr="00971AEA">
        <w:rPr>
          <w:lang w:val="pt-PT"/>
        </w:rPr>
        <w:t>Toni Roig, gerente d</w:t>
      </w:r>
      <w:r w:rsidR="00176C29">
        <w:rPr>
          <w:lang w:val="pt-PT"/>
        </w:rPr>
        <w:t>as</w:t>
      </w:r>
      <w:r w:rsidRPr="00971AEA">
        <w:rPr>
          <w:lang w:val="pt-PT"/>
        </w:rPr>
        <w:t xml:space="preserve"> novas instalações da UTE GIREF, afirma: “Fizemos a licitação para o fornecimento dos equipamentos e analisamos várias propostas. A STADLER, empresa de prestigiada reputação na conce</w:t>
      </w:r>
      <w:r w:rsidR="00176C29">
        <w:rPr>
          <w:lang w:val="pt-PT"/>
        </w:rPr>
        <w:t>p</w:t>
      </w:r>
      <w:r w:rsidRPr="00971AEA">
        <w:rPr>
          <w:lang w:val="pt-PT"/>
        </w:rPr>
        <w:t xml:space="preserve">ção, fornecimento e instalação de equipamentos com </w:t>
      </w:r>
      <w:r w:rsidR="00176C29">
        <w:rPr>
          <w:lang w:val="pt-PT"/>
        </w:rPr>
        <w:t>a</w:t>
      </w:r>
      <w:r w:rsidRPr="00971AEA">
        <w:rPr>
          <w:lang w:val="pt-PT"/>
        </w:rPr>
        <w:t xml:space="preserve"> qua</w:t>
      </w:r>
      <w:r w:rsidR="00176C29">
        <w:rPr>
          <w:lang w:val="pt-PT"/>
        </w:rPr>
        <w:t>l</w:t>
      </w:r>
      <w:r w:rsidRPr="00971AEA">
        <w:rPr>
          <w:lang w:val="pt-PT"/>
        </w:rPr>
        <w:t xml:space="preserve"> já tínhamos trabalhado</w:t>
      </w:r>
      <w:r w:rsidR="00176C29">
        <w:rPr>
          <w:lang w:val="pt-PT"/>
        </w:rPr>
        <w:t xml:space="preserve"> anteriormente</w:t>
      </w:r>
      <w:r w:rsidRPr="00971AEA">
        <w:rPr>
          <w:lang w:val="pt-PT"/>
        </w:rPr>
        <w:t>, apresentou a melhor proposta - técnica e economicamente - com uma solução que cumprisse os nossos requisitos</w:t>
      </w:r>
      <w:r>
        <w:rPr>
          <w:lang w:val="pt-PT"/>
        </w:rPr>
        <w:t>”.</w:t>
      </w:r>
    </w:p>
    <w:p w14:paraId="7BD3AEE8" w14:textId="21949AFC" w:rsidR="00971AEA" w:rsidRPr="00971AEA" w:rsidRDefault="00971AEA" w:rsidP="00971AEA">
      <w:pPr>
        <w:spacing w:after="240" w:line="288" w:lineRule="auto"/>
        <w:jc w:val="both"/>
        <w:rPr>
          <w:lang w:val="pt-PT"/>
        </w:rPr>
      </w:pPr>
      <w:r w:rsidRPr="00971AEA">
        <w:rPr>
          <w:lang w:val="pt-PT"/>
        </w:rPr>
        <w:t xml:space="preserve">Critérios sustentáveis ​​orientaram o projeto e a construção da instalação, que está localizada em Ca na Putxa, próximo ao aterro sanitário da ilha. </w:t>
      </w:r>
      <w:r w:rsidR="00176C29">
        <w:rPr>
          <w:lang w:val="pt-PT"/>
        </w:rPr>
        <w:t>A á</w:t>
      </w:r>
      <w:r w:rsidRPr="00971AEA">
        <w:rPr>
          <w:lang w:val="pt-PT"/>
        </w:rPr>
        <w:t>gua obtida por um processo de osmose do lixiviado de aterro foi usada para misturar o concreto. O sistema de purificação de ar da planta usa um biofiltro para eliminação de odores. Está prevista a instalação de painéis fotovoltaicos na cobertura dos 30.000 m</w:t>
      </w:r>
      <w:r w:rsidRPr="00714057">
        <w:rPr>
          <w:vertAlign w:val="superscript"/>
          <w:lang w:val="pt-PT"/>
        </w:rPr>
        <w:t>2</w:t>
      </w:r>
      <w:r w:rsidRPr="00971AEA">
        <w:rPr>
          <w:lang w:val="pt-PT"/>
        </w:rPr>
        <w:t xml:space="preserve"> de área coberta.</w:t>
      </w:r>
    </w:p>
    <w:p w14:paraId="02E9E655" w14:textId="5D0A7DED" w:rsidR="00971AEA" w:rsidRPr="00971AEA" w:rsidRDefault="00971AEA" w:rsidP="00971AEA">
      <w:pPr>
        <w:spacing w:after="240" w:line="288" w:lineRule="auto"/>
        <w:jc w:val="both"/>
        <w:rPr>
          <w:lang w:val="pt-PT"/>
        </w:rPr>
      </w:pPr>
      <w:r w:rsidRPr="00971AEA">
        <w:rPr>
          <w:lang w:val="pt-PT"/>
        </w:rPr>
        <w:t xml:space="preserve">A planta de triagem consiste em três linhas automatizadas. Duas linhas </w:t>
      </w:r>
      <w:r w:rsidR="00176C29">
        <w:rPr>
          <w:lang w:val="pt-PT"/>
        </w:rPr>
        <w:t>idênticas</w:t>
      </w:r>
      <w:r w:rsidRPr="00971AEA">
        <w:rPr>
          <w:lang w:val="pt-PT"/>
        </w:rPr>
        <w:t xml:space="preserve"> são usadas para separar resíduos sólidos urbanos e embalagens leves em turnos separados. Uma terceira linha independente é dedicada aos resíduos orgânicos da coleta segregada e usa as mais recentes tecnologias de triagem para processos de tratamento biológico.</w:t>
      </w:r>
    </w:p>
    <w:p w14:paraId="6235FBA8" w14:textId="4F8905D9" w:rsidR="00971AEA" w:rsidRPr="00971AEA" w:rsidRDefault="00971AEA" w:rsidP="00971AEA">
      <w:pPr>
        <w:spacing w:after="240" w:line="288" w:lineRule="auto"/>
        <w:jc w:val="both"/>
        <w:rPr>
          <w:lang w:val="pt-PT"/>
        </w:rPr>
      </w:pPr>
      <w:r w:rsidRPr="00971AEA">
        <w:rPr>
          <w:lang w:val="pt-PT"/>
        </w:rPr>
        <w:t>Luis Sánchez, Diretor de Operações da STADLER na Espanha, afirma: “O processo usa tecnologia de ponta para aumentar as taxas de recuperação e separar a maioria dos materiais recicláveis</w:t>
      </w:r>
      <w:r>
        <w:rPr>
          <w:lang w:val="pt-PT"/>
        </w:rPr>
        <w:t>”.</w:t>
      </w:r>
      <w:r w:rsidRPr="00971AEA">
        <w:rPr>
          <w:lang w:val="pt-PT"/>
        </w:rPr>
        <w:t xml:space="preserve"> A unidade foi projetada para processar até 120.000 toneladas de resíduos sólidos urbanos, 6.000 toneladas de embalagens e 20.000 toneladas de resíduos orgânicos de coleta seletiva.</w:t>
      </w:r>
    </w:p>
    <w:p w14:paraId="4C043F63" w14:textId="3AC1D815" w:rsidR="00971AEA" w:rsidRPr="00971AEA" w:rsidRDefault="00971AEA" w:rsidP="00971AEA">
      <w:pPr>
        <w:spacing w:after="240" w:line="288" w:lineRule="auto"/>
        <w:jc w:val="both"/>
        <w:rPr>
          <w:lang w:val="pt-PT"/>
        </w:rPr>
      </w:pPr>
      <w:r w:rsidRPr="00971AEA">
        <w:rPr>
          <w:lang w:val="pt-PT"/>
        </w:rPr>
        <w:t xml:space="preserve">A instalação visa cumprir os regulamentos europeus de tratamento de resíduos e se esforça para ser um modelo de operação sustentável e para aumentar a consciência pública. Para </w:t>
      </w:r>
      <w:r w:rsidR="00176C29">
        <w:rPr>
          <w:lang w:val="pt-PT"/>
        </w:rPr>
        <w:t>este fim</w:t>
      </w:r>
      <w:r w:rsidRPr="00971AEA">
        <w:rPr>
          <w:lang w:val="pt-PT"/>
        </w:rPr>
        <w:t xml:space="preserve">, o complexo inclui uma sala de conferências com </w:t>
      </w:r>
      <w:r w:rsidR="00176C29">
        <w:rPr>
          <w:lang w:val="pt-PT"/>
        </w:rPr>
        <w:t>equipamentos</w:t>
      </w:r>
      <w:r w:rsidRPr="00971AEA">
        <w:rPr>
          <w:lang w:val="pt-PT"/>
        </w:rPr>
        <w:t xml:space="preserve"> de interpretação para acolher visitas guiadas e atividades de divulgação.</w:t>
      </w:r>
    </w:p>
    <w:p w14:paraId="6A4F82CC" w14:textId="7868774E" w:rsidR="00971AEA" w:rsidRDefault="00971AEA" w:rsidP="00971AEA">
      <w:pPr>
        <w:spacing w:after="240" w:line="288" w:lineRule="auto"/>
        <w:jc w:val="both"/>
        <w:rPr>
          <w:lang w:val="pt-PT"/>
        </w:rPr>
      </w:pPr>
      <w:r w:rsidRPr="00971AEA">
        <w:rPr>
          <w:lang w:val="pt-PT"/>
        </w:rPr>
        <w:t>“A STADLER nos apoiou e forneceu consultoria especializada em todo o processo de inicialização da planta. Isso nos permitiu atingir taxas ideais de tratamento de resíduos em tempo recorde. Com base na nossa experiência, podemos dizer que STADLER é sinônimo de profissionalismo</w:t>
      </w:r>
      <w:r>
        <w:rPr>
          <w:lang w:val="pt-PT"/>
        </w:rPr>
        <w:t>”</w:t>
      </w:r>
      <w:r w:rsidRPr="00971AEA">
        <w:rPr>
          <w:lang w:val="pt-PT"/>
        </w:rPr>
        <w:t>, acrescenta Toni Roig.</w:t>
      </w:r>
    </w:p>
    <w:p w14:paraId="64C79AAF" w14:textId="77777777" w:rsidR="00944D56" w:rsidRDefault="00944D56">
      <w:pPr>
        <w:numPr>
          <w:ilvl w:val="0"/>
          <w:numId w:val="0"/>
        </w:numPr>
        <w:spacing w:after="200" w:line="276" w:lineRule="auto"/>
        <w:rPr>
          <w:b/>
          <w:lang w:val="pt-PT"/>
        </w:rPr>
      </w:pPr>
      <w:r>
        <w:rPr>
          <w:b/>
          <w:lang w:val="pt-PT"/>
        </w:rPr>
        <w:br w:type="page"/>
      </w:r>
    </w:p>
    <w:p w14:paraId="5AB5D2F6" w14:textId="4107D6C8" w:rsidR="00971AEA" w:rsidRPr="00971AEA" w:rsidRDefault="00971AEA" w:rsidP="00971AEA">
      <w:pPr>
        <w:spacing w:after="240" w:line="288" w:lineRule="auto"/>
        <w:jc w:val="both"/>
        <w:rPr>
          <w:b/>
          <w:lang w:val="pt-PT"/>
        </w:rPr>
      </w:pPr>
      <w:r w:rsidRPr="00971AEA">
        <w:rPr>
          <w:b/>
          <w:lang w:val="pt-PT"/>
        </w:rPr>
        <w:lastRenderedPageBreak/>
        <w:t xml:space="preserve">STADLER, tecnologia de ponta para otimização da </w:t>
      </w:r>
      <w:r w:rsidR="00176C29">
        <w:rPr>
          <w:b/>
          <w:lang w:val="pt-PT"/>
        </w:rPr>
        <w:t>triagem</w:t>
      </w:r>
    </w:p>
    <w:p w14:paraId="61DECDF5" w14:textId="77777777" w:rsidR="00971AEA" w:rsidRPr="00971AEA" w:rsidRDefault="00971AEA" w:rsidP="00971AEA">
      <w:pPr>
        <w:spacing w:after="240" w:line="288" w:lineRule="auto"/>
        <w:jc w:val="both"/>
        <w:rPr>
          <w:lang w:val="pt-PT"/>
        </w:rPr>
      </w:pPr>
      <w:r w:rsidRPr="00971AEA">
        <w:rPr>
          <w:lang w:val="pt-PT"/>
        </w:rPr>
        <w:t>As instalações da STADLER apresentam as tecnologias de triagem mais inovadoras para aumentar a sustentabilidade do processo, reduzir a necessidade de aterros e, em última instância, promover uma economia circular.</w:t>
      </w:r>
    </w:p>
    <w:p w14:paraId="3B901FB9" w14:textId="74A68274" w:rsidR="00971AEA" w:rsidRPr="00971AEA" w:rsidRDefault="00971AEA" w:rsidP="00971AEA">
      <w:pPr>
        <w:spacing w:after="240" w:line="288" w:lineRule="auto"/>
        <w:jc w:val="both"/>
        <w:rPr>
          <w:lang w:val="pt-PT"/>
        </w:rPr>
      </w:pPr>
      <w:r w:rsidRPr="00971AEA">
        <w:rPr>
          <w:lang w:val="pt-PT"/>
        </w:rPr>
        <w:t>Graças a essas tecnologias avançadas na planta de Ca na Putxa, após a triagem e abertura do</w:t>
      </w:r>
      <w:r w:rsidR="00176C29">
        <w:rPr>
          <w:lang w:val="pt-PT"/>
        </w:rPr>
        <w:t>s</w:t>
      </w:r>
      <w:r w:rsidRPr="00971AEA">
        <w:rPr>
          <w:lang w:val="pt-PT"/>
        </w:rPr>
        <w:t xml:space="preserve"> saco</w:t>
      </w:r>
      <w:r w:rsidR="00176C29">
        <w:rPr>
          <w:lang w:val="pt-PT"/>
        </w:rPr>
        <w:t>s</w:t>
      </w:r>
      <w:r w:rsidRPr="00971AEA">
        <w:rPr>
          <w:lang w:val="pt-PT"/>
        </w:rPr>
        <w:t xml:space="preserve">, os resíduos podem ser alimentados no processo de peneiramento, que </w:t>
      </w:r>
      <w:r w:rsidRPr="00714057">
        <w:rPr>
          <w:lang w:val="pt-PT"/>
        </w:rPr>
        <w:t xml:space="preserve">usa </w:t>
      </w:r>
      <w:r w:rsidR="00176C29" w:rsidRPr="00714057">
        <w:rPr>
          <w:lang w:val="pt-PT"/>
        </w:rPr>
        <w:t>peneiras giratórias</w:t>
      </w:r>
      <w:r w:rsidRPr="00971AEA">
        <w:rPr>
          <w:lang w:val="pt-PT"/>
        </w:rPr>
        <w:t xml:space="preserve"> para separar as frações que são principalmente orgânicas daquelas que têm um alto teor de embalagens e materiais recicláveis</w:t>
      </w:r>
      <w:r>
        <w:rPr>
          <w:lang w:val="pt-PT"/>
        </w:rPr>
        <w:t>.</w:t>
      </w:r>
      <w:r w:rsidRPr="00971AEA">
        <w:rPr>
          <w:lang w:val="pt-PT"/>
        </w:rPr>
        <w:t xml:space="preserve"> O material orgânico é então refinado em duas linhas para obter composto de máxima qualidade e resíduos bioestabilizados por meio de um processo de tratamento biológico.</w:t>
      </w:r>
    </w:p>
    <w:p w14:paraId="231DCF61" w14:textId="36127514" w:rsidR="00971AEA" w:rsidRPr="00971AEA" w:rsidRDefault="00971AEA" w:rsidP="00971AEA">
      <w:pPr>
        <w:spacing w:after="240" w:line="288" w:lineRule="auto"/>
        <w:jc w:val="both"/>
        <w:rPr>
          <w:lang w:val="pt-PT"/>
        </w:rPr>
      </w:pPr>
      <w:r w:rsidRPr="00971AEA">
        <w:rPr>
          <w:lang w:val="pt-PT"/>
        </w:rPr>
        <w:t>Os demais materiais são processados ​​por meio de separadores balísticos. Dependendo de sua rigidez, eles são alimentados em diferentes</w:t>
      </w:r>
      <w:r w:rsidR="00176C29">
        <w:rPr>
          <w:lang w:val="pt-PT"/>
        </w:rPr>
        <w:t xml:space="preserve"> calhas para separação</w:t>
      </w:r>
      <w:r w:rsidRPr="00971AEA">
        <w:rPr>
          <w:lang w:val="pt-PT"/>
        </w:rPr>
        <w:t xml:space="preserve"> ótica</w:t>
      </w:r>
      <w:r w:rsidR="006452B4">
        <w:rPr>
          <w:lang w:val="pt-PT"/>
        </w:rPr>
        <w:t xml:space="preserve"> </w:t>
      </w:r>
      <w:r w:rsidR="00176C29">
        <w:rPr>
          <w:lang w:val="pt-PT"/>
        </w:rPr>
        <w:t xml:space="preserve">de </w:t>
      </w:r>
      <w:r w:rsidRPr="00971AEA">
        <w:rPr>
          <w:lang w:val="pt-PT"/>
        </w:rPr>
        <w:t>ferrosos e não ferrosos. Depois de passar pelo controle de qualidade, os materiais selecionados são armazenados em depósitos automatizados para enfardamento posterior. A saída ao final do processo consiste em PET, PEAD, PEBD, PP, TETRAPACK, P / C, filme orgânico, frações de ferro e alumínio e resíduos.</w:t>
      </w:r>
    </w:p>
    <w:p w14:paraId="17145BDC" w14:textId="7CDD0564" w:rsidR="00971AEA" w:rsidRDefault="00971AEA" w:rsidP="00971AEA">
      <w:pPr>
        <w:spacing w:after="240" w:line="288" w:lineRule="auto"/>
        <w:jc w:val="both"/>
        <w:rPr>
          <w:lang w:val="pt-PT"/>
        </w:rPr>
      </w:pPr>
      <w:r w:rsidRPr="00971AEA">
        <w:rPr>
          <w:lang w:val="pt-PT"/>
        </w:rPr>
        <w:t>“Estamos muito felizes por termos escolhido a STADLER para fornecer o equipamento. Eles foram extremamente profissionais desde o início e superaram todos os desafios decorrentes de estar</w:t>
      </w:r>
      <w:r w:rsidR="00E664EF">
        <w:rPr>
          <w:lang w:val="pt-PT"/>
        </w:rPr>
        <w:t>mos</w:t>
      </w:r>
      <w:r w:rsidRPr="00971AEA">
        <w:rPr>
          <w:lang w:val="pt-PT"/>
        </w:rPr>
        <w:t xml:space="preserve"> em uma ilha. A pandemia global Covid-19 surgiu enquanto estávamos no meio do processo de instalação. Ainda assim, cumpriram rigorosamente todos os protocolos de segurança, tanto no recomeço dos trabalhos de instalação como no envio do seu pessoal o mais rapidamente possível. Isso nos permitiu atingir todos os objetivos do projeto, apesar das dificuldades</w:t>
      </w:r>
      <w:r>
        <w:rPr>
          <w:lang w:val="pt-PT"/>
        </w:rPr>
        <w:t>”,</w:t>
      </w:r>
      <w:r w:rsidRPr="00971AEA">
        <w:rPr>
          <w:lang w:val="pt-PT"/>
        </w:rPr>
        <w:t xml:space="preserve"> conclui Toni Roig.</w:t>
      </w:r>
    </w:p>
    <w:p w14:paraId="5100648A" w14:textId="77777777" w:rsidR="002B79EF" w:rsidRPr="00E366C1" w:rsidRDefault="002B79EF" w:rsidP="00AD3FDC">
      <w:pPr>
        <w:numPr>
          <w:ilvl w:val="0"/>
          <w:numId w:val="0"/>
        </w:numPr>
        <w:spacing w:after="200" w:line="276" w:lineRule="auto"/>
        <w:jc w:val="both"/>
        <w:rPr>
          <w:b/>
          <w:lang w:val="pt-PT"/>
        </w:rPr>
      </w:pPr>
      <w:r w:rsidRPr="00E366C1">
        <w:rPr>
          <w:b/>
          <w:lang w:val="pt-PT"/>
        </w:rPr>
        <w:t>Sobre a STADLER</w:t>
      </w:r>
    </w:p>
    <w:p w14:paraId="171DE7E3" w14:textId="77777777" w:rsidR="002B79EF" w:rsidRPr="005214FC" w:rsidRDefault="002B79EF" w:rsidP="002B79EF">
      <w:pPr>
        <w:spacing w:line="288" w:lineRule="auto"/>
        <w:jc w:val="both"/>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otimização,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w:t>
      </w:r>
      <w:r w:rsidR="00AB2DE9" w:rsidRPr="003C0982">
        <w:rPr>
          <w:lang w:val="pt-PT"/>
        </w:rPr>
        <w:t>peneiras giratórias</w:t>
      </w:r>
      <w:r w:rsidRPr="005214FC">
        <w:rPr>
          <w:lang w:val="pt-PT"/>
        </w:rPr>
        <w:t xml:space="preserve"> e </w:t>
      </w:r>
      <w:r>
        <w:rPr>
          <w:lang w:val="pt-PT"/>
        </w:rPr>
        <w:t>removedores de rótulos</w:t>
      </w:r>
      <w:r w:rsidRPr="005214FC">
        <w:rPr>
          <w:lang w:val="pt-PT"/>
        </w:rPr>
        <w:t xml:space="preserve">. A empresa também é capaz de fornecer estruturas de aço e </w:t>
      </w:r>
      <w:r w:rsidR="00AB0633" w:rsidRPr="003C0982">
        <w:rPr>
          <w:lang w:val="pt-PT"/>
        </w:rPr>
        <w:t>pain</w:t>
      </w:r>
      <w:r w:rsidR="002D2B24" w:rsidRPr="003C0982">
        <w:rPr>
          <w:lang w:val="pt-PT"/>
        </w:rPr>
        <w:t>é</w:t>
      </w:r>
      <w:r w:rsidR="00AB0633" w:rsidRPr="003C0982">
        <w:rPr>
          <w:lang w:val="pt-PT"/>
        </w:rPr>
        <w:t>is</w:t>
      </w:r>
      <w:r w:rsidR="00AB2DE9" w:rsidRPr="005214FC">
        <w:rPr>
          <w:lang w:val="pt-PT"/>
        </w:rPr>
        <w:t xml:space="preserve"> </w:t>
      </w:r>
      <w:r w:rsidRPr="005214FC">
        <w:rPr>
          <w:lang w:val="pt-PT"/>
        </w:rPr>
        <w:t>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14:paraId="7155BC90" w14:textId="77777777" w:rsidR="002B79EF" w:rsidRPr="005214FC" w:rsidRDefault="002B79EF" w:rsidP="002B79EF">
      <w:pPr>
        <w:spacing w:line="288" w:lineRule="auto"/>
        <w:jc w:val="both"/>
        <w:rPr>
          <w:lang w:val="pt-PT"/>
        </w:rPr>
      </w:pPr>
    </w:p>
    <w:p w14:paraId="012FDCFF" w14:textId="77777777" w:rsidR="002B79EF" w:rsidRPr="005214FC" w:rsidRDefault="002B79EF" w:rsidP="002B79EF">
      <w:pPr>
        <w:spacing w:line="288" w:lineRule="auto"/>
        <w:jc w:val="both"/>
        <w:rPr>
          <w:lang w:val="pt-PT"/>
        </w:rPr>
      </w:pPr>
      <w:r w:rsidRPr="005214FC">
        <w:rPr>
          <w:lang w:val="pt-PT"/>
        </w:rPr>
        <w:t>Para mais informações, visite</w:t>
      </w:r>
      <w:r>
        <w:rPr>
          <w:rStyle w:val="Hiperligao"/>
          <w:lang w:val="pt-PT"/>
        </w:rPr>
        <w:t xml:space="preserve"> http://w-stadler.de/pt</w:t>
      </w:r>
    </w:p>
    <w:p w14:paraId="2358F258" w14:textId="77777777" w:rsidR="008D4742" w:rsidRDefault="008D4742" w:rsidP="0076339D">
      <w:pPr>
        <w:pStyle w:val="SemEspaamento"/>
        <w:adjustRightInd w:val="0"/>
        <w:spacing w:after="240" w:line="288" w:lineRule="auto"/>
        <w:rPr>
          <w:rFonts w:ascii="Arial" w:hAnsi="Arial" w:cs="Arial"/>
          <w:lang w:val="pt-PT"/>
        </w:rPr>
      </w:pPr>
    </w:p>
    <w:p w14:paraId="2B5C04B8" w14:textId="77777777" w:rsidR="00944D56" w:rsidRDefault="00944D56">
      <w:pPr>
        <w:numPr>
          <w:ilvl w:val="0"/>
          <w:numId w:val="0"/>
        </w:numPr>
        <w:spacing w:after="200" w:line="276" w:lineRule="auto"/>
        <w:rPr>
          <w:rFonts w:eastAsia="Calibri"/>
          <w:b/>
          <w:color w:val="auto"/>
          <w:lang w:val="pt-PT" w:eastAsia="en-US"/>
        </w:rPr>
      </w:pPr>
      <w:r>
        <w:rPr>
          <w:b/>
          <w:lang w:val="pt-PT"/>
        </w:rPr>
        <w:br w:type="page"/>
      </w:r>
    </w:p>
    <w:p w14:paraId="74BBD7A7" w14:textId="58861838" w:rsidR="006A798A" w:rsidRPr="007A7474" w:rsidRDefault="00DB0FD6" w:rsidP="0076339D">
      <w:pPr>
        <w:pStyle w:val="SemEspaamento"/>
        <w:adjustRightInd w:val="0"/>
        <w:spacing w:after="240" w:line="288" w:lineRule="auto"/>
        <w:rPr>
          <w:rFonts w:ascii="Arial" w:hAnsi="Arial" w:cs="Arial"/>
          <w:b/>
          <w:lang w:val="pt-PT"/>
        </w:rPr>
      </w:pPr>
      <w:r w:rsidRPr="007A7474">
        <w:rPr>
          <w:rFonts w:ascii="Arial" w:hAnsi="Arial" w:cs="Arial"/>
          <w:b/>
          <w:lang w:val="pt-PT"/>
        </w:rPr>
        <w:lastRenderedPageBreak/>
        <w:t>Contatos</w:t>
      </w:r>
      <w:r w:rsidR="006A798A" w:rsidRPr="007A7474">
        <w:rPr>
          <w:rFonts w:ascii="Arial" w:hAnsi="Arial" w:cs="Arial"/>
          <w:b/>
          <w:lang w:val="pt-PT"/>
        </w:rPr>
        <w:t xml:space="preserve"> </w:t>
      </w:r>
      <w:r w:rsidR="00637377">
        <w:rPr>
          <w:rFonts w:ascii="Arial" w:hAnsi="Arial" w:cs="Arial"/>
          <w:b/>
          <w:lang w:val="pt-PT"/>
        </w:rPr>
        <w:t xml:space="preserve">de mídia </w:t>
      </w:r>
      <w:r w:rsidR="003642A7">
        <w:rPr>
          <w:rFonts w:ascii="Arial" w:hAnsi="Arial" w:cs="Arial"/>
          <w:b/>
          <w:lang w:val="pt-PT"/>
        </w:rPr>
        <w:t xml:space="preserve">da </w:t>
      </w:r>
      <w:r w:rsidR="002B79EF">
        <w:rPr>
          <w:rFonts w:ascii="Arial" w:hAnsi="Arial" w:cs="Arial"/>
          <w:b/>
          <w:lang w:val="pt-PT"/>
        </w:rPr>
        <w:t>STADLER:</w:t>
      </w:r>
    </w:p>
    <w:p w14:paraId="654D1026" w14:textId="77777777" w:rsidR="00E30E9A" w:rsidRPr="005069A5" w:rsidRDefault="00E30E9A" w:rsidP="00F52612">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t>Marina Castro Hempel</w:t>
      </w:r>
    </w:p>
    <w:p w14:paraId="58716861" w14:textId="77777777" w:rsidR="00E30E9A" w:rsidRPr="00F97909" w:rsidRDefault="00E30E9A" w:rsidP="00F52612">
      <w:pPr>
        <w:spacing w:line="288" w:lineRule="auto"/>
        <w:jc w:val="both"/>
        <w:rPr>
          <w:rFonts w:eastAsia="Calibri"/>
          <w:color w:val="auto"/>
          <w:lang w:val="pt-PT" w:eastAsia="en-US"/>
        </w:rPr>
      </w:pPr>
      <w:r w:rsidRPr="00F97909">
        <w:rPr>
          <w:rFonts w:eastAsia="Calibri"/>
          <w:color w:val="auto"/>
          <w:lang w:val="pt-PT" w:eastAsia="en-US"/>
        </w:rPr>
        <w:t>Diretora</w:t>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t>Marketing</w:t>
      </w:r>
    </w:p>
    <w:p w14:paraId="11BE44A2" w14:textId="77777777" w:rsidR="00E30E9A" w:rsidRPr="00944D56" w:rsidRDefault="00E30E9A" w:rsidP="00F52612">
      <w:pPr>
        <w:spacing w:line="288" w:lineRule="auto"/>
        <w:jc w:val="both"/>
        <w:rPr>
          <w:rFonts w:eastAsia="Calibri"/>
          <w:color w:val="auto"/>
          <w:lang w:val="pt-PT" w:eastAsia="en-US"/>
        </w:rPr>
      </w:pPr>
      <w:r w:rsidRPr="00944D56">
        <w:rPr>
          <w:rFonts w:eastAsia="Calibri"/>
          <w:color w:val="auto"/>
          <w:lang w:val="pt-PT" w:eastAsia="en-US"/>
        </w:rPr>
        <w:t>Alarcón &amp; Harris PR</w:t>
      </w:r>
      <w:r w:rsidRPr="00944D56">
        <w:rPr>
          <w:rFonts w:eastAsia="Calibri"/>
          <w:color w:val="auto"/>
          <w:lang w:val="pt-PT" w:eastAsia="en-US"/>
        </w:rPr>
        <w:tab/>
      </w:r>
      <w:r w:rsidRPr="00944D56">
        <w:rPr>
          <w:rFonts w:eastAsia="Calibri"/>
          <w:color w:val="auto"/>
          <w:lang w:val="pt-PT" w:eastAsia="en-US"/>
        </w:rPr>
        <w:tab/>
      </w:r>
      <w:r w:rsidRPr="00944D56">
        <w:rPr>
          <w:rFonts w:eastAsia="Calibri"/>
          <w:color w:val="auto"/>
          <w:lang w:val="pt-PT" w:eastAsia="en-US"/>
        </w:rPr>
        <w:tab/>
      </w:r>
      <w:r w:rsidRPr="00944D56">
        <w:rPr>
          <w:rFonts w:eastAsia="Calibri"/>
          <w:color w:val="auto"/>
          <w:lang w:val="pt-PT" w:eastAsia="en-US"/>
        </w:rPr>
        <w:tab/>
        <w:t xml:space="preserve">STADLER Anlagenbau GmbH </w:t>
      </w:r>
    </w:p>
    <w:p w14:paraId="4B5BA3D6" w14:textId="77777777" w:rsidR="00E30E9A" w:rsidRPr="00944D56" w:rsidRDefault="00E30E9A" w:rsidP="00F52612">
      <w:pPr>
        <w:spacing w:line="288" w:lineRule="auto"/>
        <w:jc w:val="both"/>
        <w:rPr>
          <w:rFonts w:eastAsia="Calibri"/>
          <w:color w:val="auto"/>
          <w:lang w:val="pt-PT" w:eastAsia="en-US"/>
        </w:rPr>
      </w:pPr>
      <w:r w:rsidRPr="00944D56">
        <w:rPr>
          <w:rFonts w:eastAsia="Calibri"/>
          <w:color w:val="auto"/>
          <w:lang w:val="pt-PT" w:eastAsia="en-US"/>
        </w:rPr>
        <w:t>Tel</w:t>
      </w:r>
      <w:r w:rsidR="00D76C94" w:rsidRPr="00944D56">
        <w:rPr>
          <w:rFonts w:eastAsia="Calibri"/>
          <w:color w:val="auto"/>
          <w:lang w:val="pt-PT" w:eastAsia="en-US"/>
        </w:rPr>
        <w:t>efone</w:t>
      </w:r>
      <w:r w:rsidRPr="00944D56">
        <w:rPr>
          <w:rFonts w:eastAsia="Calibri"/>
          <w:color w:val="auto"/>
          <w:lang w:val="pt-PT" w:eastAsia="en-US"/>
        </w:rPr>
        <w:t>: +34 91 415 30 20</w:t>
      </w:r>
      <w:r w:rsidRPr="00944D56">
        <w:rPr>
          <w:rFonts w:eastAsia="Calibri"/>
          <w:color w:val="auto"/>
          <w:lang w:val="pt-PT" w:eastAsia="en-US"/>
        </w:rPr>
        <w:tab/>
      </w:r>
      <w:r w:rsidRPr="00944D56">
        <w:rPr>
          <w:rFonts w:eastAsia="Calibri"/>
          <w:color w:val="auto"/>
          <w:lang w:val="pt-PT" w:eastAsia="en-US"/>
        </w:rPr>
        <w:tab/>
      </w:r>
      <w:r w:rsidR="0088588F" w:rsidRPr="00944D56">
        <w:rPr>
          <w:rFonts w:eastAsia="Calibri"/>
          <w:color w:val="auto"/>
          <w:lang w:val="pt-PT" w:eastAsia="en-US"/>
        </w:rPr>
        <w:t xml:space="preserve">           </w:t>
      </w:r>
      <w:r w:rsidRPr="00944D56">
        <w:rPr>
          <w:rFonts w:eastAsia="Calibri"/>
          <w:color w:val="auto"/>
          <w:lang w:val="pt-PT" w:eastAsia="en-US"/>
        </w:rPr>
        <w:t>Tel</w:t>
      </w:r>
      <w:r w:rsidR="00D76C94" w:rsidRPr="00944D56">
        <w:rPr>
          <w:rFonts w:eastAsia="Calibri"/>
          <w:color w:val="auto"/>
          <w:lang w:val="pt-PT" w:eastAsia="en-US"/>
        </w:rPr>
        <w:t>efone</w:t>
      </w:r>
      <w:r w:rsidRPr="00944D56">
        <w:rPr>
          <w:rFonts w:eastAsia="Calibri"/>
          <w:color w:val="auto"/>
          <w:lang w:val="pt-PT" w:eastAsia="en-US"/>
        </w:rPr>
        <w:t>: + 49 7584 9226-1063</w:t>
      </w:r>
    </w:p>
    <w:p w14:paraId="15A9304C" w14:textId="77777777" w:rsidR="00E30E9A" w:rsidRPr="002F2EF2" w:rsidRDefault="00E30E9A" w:rsidP="00F52612">
      <w:pPr>
        <w:spacing w:line="288" w:lineRule="auto"/>
        <w:jc w:val="both"/>
        <w:rPr>
          <w:rFonts w:eastAsia="Calibri"/>
          <w:color w:val="auto"/>
          <w:lang w:val="pt-PT" w:eastAsia="en-US"/>
        </w:rPr>
      </w:pPr>
      <w:r w:rsidRPr="002F2EF2">
        <w:rPr>
          <w:rFonts w:eastAsia="Calibri"/>
          <w:color w:val="auto"/>
          <w:lang w:val="pt-PT" w:eastAsia="en-US"/>
        </w:rPr>
        <w:t xml:space="preserve">Email: </w:t>
      </w:r>
      <w:hyperlink r:id="rId8" w:history="1">
        <w:r w:rsidR="00AA73E1" w:rsidRPr="002F2EF2">
          <w:rPr>
            <w:rStyle w:val="Hiperligao"/>
            <w:rFonts w:eastAsia="Calibri"/>
            <w:lang w:val="pt-PT" w:eastAsia="en-US"/>
          </w:rPr>
          <w:t>nmarti@alarconyharris.com</w:t>
        </w:r>
      </w:hyperlink>
      <w:r w:rsidR="00AA73E1" w:rsidRPr="002F2EF2">
        <w:rPr>
          <w:rFonts w:eastAsia="Calibri"/>
          <w:color w:val="auto"/>
          <w:lang w:val="pt-PT" w:eastAsia="en-US"/>
        </w:rPr>
        <w:t xml:space="preserve"> </w:t>
      </w:r>
      <w:r w:rsidRPr="002F2EF2">
        <w:rPr>
          <w:rFonts w:eastAsia="Calibri"/>
          <w:color w:val="auto"/>
          <w:lang w:val="pt-PT" w:eastAsia="en-US"/>
        </w:rPr>
        <w:tab/>
      </w:r>
      <w:r w:rsidRPr="002F2EF2">
        <w:rPr>
          <w:rFonts w:eastAsia="Calibri"/>
          <w:color w:val="auto"/>
          <w:lang w:val="pt-PT" w:eastAsia="en-US"/>
        </w:rPr>
        <w:tab/>
        <w:t xml:space="preserve">Email: </w:t>
      </w:r>
      <w:hyperlink r:id="rId9" w:history="1">
        <w:r w:rsidR="00AA73E1" w:rsidRPr="002F2EF2">
          <w:rPr>
            <w:rStyle w:val="Hiperligao"/>
            <w:rFonts w:eastAsia="Calibri"/>
            <w:lang w:val="pt-PT" w:eastAsia="en-US"/>
          </w:rPr>
          <w:t>marina.castro@w-stadler.de</w:t>
        </w:r>
      </w:hyperlink>
      <w:r w:rsidR="00AA73E1" w:rsidRPr="002F2EF2">
        <w:rPr>
          <w:rFonts w:eastAsia="Calibri"/>
          <w:color w:val="auto"/>
          <w:lang w:val="pt-PT" w:eastAsia="en-US"/>
        </w:rPr>
        <w:t xml:space="preserve"> </w:t>
      </w:r>
      <w:r w:rsidRPr="002F2EF2">
        <w:rPr>
          <w:rFonts w:eastAsia="Calibri"/>
          <w:color w:val="auto"/>
          <w:lang w:val="pt-PT" w:eastAsia="en-US"/>
        </w:rPr>
        <w:t xml:space="preserve"> </w:t>
      </w:r>
      <w:r w:rsidRPr="002F2EF2">
        <w:rPr>
          <w:rFonts w:eastAsia="Calibri"/>
          <w:color w:val="auto"/>
          <w:lang w:val="pt-PT" w:eastAsia="en-US"/>
        </w:rPr>
        <w:tab/>
      </w:r>
    </w:p>
    <w:p w14:paraId="16AE8823" w14:textId="77777777" w:rsidR="006A798A" w:rsidRPr="002F2EF2" w:rsidRDefault="00E30E9A" w:rsidP="00F52612">
      <w:pPr>
        <w:pStyle w:val="SemEspaamento"/>
        <w:adjustRightInd w:val="0"/>
        <w:spacing w:after="240" w:line="288" w:lineRule="auto"/>
        <w:rPr>
          <w:lang w:val="en-US"/>
        </w:rPr>
      </w:pPr>
      <w:r w:rsidRPr="002F2EF2">
        <w:rPr>
          <w:lang w:val="en-US"/>
        </w:rPr>
        <w:t>Web:</w:t>
      </w:r>
      <w:r w:rsidR="00AA73E1" w:rsidRPr="002F2EF2">
        <w:rPr>
          <w:lang w:val="en-US"/>
        </w:rPr>
        <w:t xml:space="preserve"> </w:t>
      </w:r>
      <w:hyperlink r:id="rId10" w:history="1">
        <w:r w:rsidRPr="002F2EF2">
          <w:rPr>
            <w:rStyle w:val="Hiperligao"/>
            <w:rFonts w:ascii="Arial" w:hAnsi="Arial" w:cs="Arial"/>
            <w:lang w:val="en-US"/>
          </w:rPr>
          <w:t>www.alarconyharris.com</w:t>
        </w:r>
      </w:hyperlink>
      <w:r w:rsidRPr="002F2EF2">
        <w:rPr>
          <w:rFonts w:ascii="Arial" w:hAnsi="Arial" w:cs="Arial"/>
          <w:lang w:val="en-US"/>
        </w:rPr>
        <w:t xml:space="preserve"> </w:t>
      </w:r>
      <w:r w:rsidRPr="002F2EF2">
        <w:rPr>
          <w:rFonts w:ascii="Arial" w:hAnsi="Arial" w:cs="Arial"/>
          <w:lang w:val="en-US"/>
        </w:rPr>
        <w:tab/>
      </w:r>
      <w:r w:rsidRPr="002F2EF2">
        <w:rPr>
          <w:lang w:val="en-US"/>
        </w:rPr>
        <w:tab/>
        <w:t>Web:</w:t>
      </w:r>
      <w:r w:rsidR="00AA73E1" w:rsidRPr="002F2EF2">
        <w:rPr>
          <w:lang w:val="en-US"/>
        </w:rPr>
        <w:t xml:space="preserve"> </w:t>
      </w:r>
      <w:r w:rsidRPr="002F2EF2">
        <w:rPr>
          <w:lang w:val="en-US"/>
        </w:rPr>
        <w:t xml:space="preserve"> </w:t>
      </w:r>
      <w:hyperlink r:id="rId11" w:history="1">
        <w:r w:rsidRPr="002F2EF2">
          <w:rPr>
            <w:rStyle w:val="Hiperligao"/>
            <w:rFonts w:ascii="Arial" w:hAnsi="Arial" w:cs="Arial"/>
            <w:lang w:val="en-US"/>
          </w:rPr>
          <w:t>www.w-stadler.de</w:t>
        </w:r>
      </w:hyperlink>
      <w:r w:rsidRPr="002F2EF2">
        <w:rPr>
          <w:lang w:val="en-US"/>
        </w:rPr>
        <w:t xml:space="preserve"> </w:t>
      </w:r>
    </w:p>
    <w:p w14:paraId="57DC1A58" w14:textId="77777777" w:rsidR="00CB331C" w:rsidRPr="002F2EF2" w:rsidRDefault="00CB331C" w:rsidP="002D4A9B">
      <w:pPr>
        <w:jc w:val="both"/>
        <w:rPr>
          <w:b/>
          <w:lang w:val="en-US"/>
        </w:rPr>
      </w:pPr>
    </w:p>
    <w:p w14:paraId="18B08160" w14:textId="77777777" w:rsidR="00F52612" w:rsidRPr="002F2EF2" w:rsidRDefault="00F52612">
      <w:pPr>
        <w:pStyle w:val="SemEspaamento"/>
        <w:adjustRightInd w:val="0"/>
        <w:spacing w:after="240" w:line="288" w:lineRule="auto"/>
        <w:rPr>
          <w:rFonts w:ascii="Arial" w:hAnsi="Arial" w:cs="Arial"/>
          <w:lang w:val="en-US"/>
        </w:rPr>
      </w:pPr>
    </w:p>
    <w:sectPr w:rsidR="00F52612" w:rsidRPr="002F2EF2"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50F0" w14:textId="77777777" w:rsidR="00B93FCA" w:rsidRDefault="00B93FCA" w:rsidP="001C6DA9">
      <w:r>
        <w:separator/>
      </w:r>
    </w:p>
  </w:endnote>
  <w:endnote w:type="continuationSeparator" w:id="0">
    <w:p w14:paraId="06BC1CB7" w14:textId="77777777" w:rsidR="00B93FCA" w:rsidRDefault="00B93FCA"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33542045" w14:textId="77777777" w:rsidTr="004A6709">
      <w:trPr>
        <w:trHeight w:hRule="exact" w:val="437"/>
      </w:trPr>
      <w:tc>
        <w:tcPr>
          <w:tcW w:w="6804" w:type="dxa"/>
          <w:vAlign w:val="center"/>
          <w:hideMark/>
        </w:tcPr>
        <w:p w14:paraId="02A4E18F" w14:textId="77777777" w:rsidR="00217173" w:rsidRDefault="00CF5210">
          <w:pPr>
            <w:pStyle w:val="Rodap"/>
            <w:spacing w:line="276" w:lineRule="auto"/>
            <w:jc w:val="left"/>
          </w:pPr>
          <w:r>
            <w:t>Press</w:t>
          </w:r>
          <w:r w:rsidR="00CD2966">
            <w:t xml:space="preserve"> release</w:t>
          </w:r>
        </w:p>
      </w:tc>
      <w:tc>
        <w:tcPr>
          <w:tcW w:w="2268" w:type="dxa"/>
          <w:vAlign w:val="center"/>
          <w:hideMark/>
        </w:tcPr>
        <w:p w14:paraId="0A6DDA15" w14:textId="77777777" w:rsidR="00217173" w:rsidRDefault="00217173">
          <w:pPr>
            <w:pStyle w:val="Rodap"/>
            <w:spacing w:line="276" w:lineRule="auto"/>
          </w:pPr>
          <w:r>
            <w:fldChar w:fldCharType="begin"/>
          </w:r>
          <w:r>
            <w:instrText xml:space="preserve"> PAGE   </w:instrText>
          </w:r>
          <w:r>
            <w:fldChar w:fldCharType="separate"/>
          </w:r>
          <w:r w:rsidR="00A7154C">
            <w:rPr>
              <w:noProof/>
            </w:rPr>
            <w:t>2</w:t>
          </w:r>
          <w:r>
            <w:fldChar w:fldCharType="end"/>
          </w:r>
          <w:r>
            <w:t xml:space="preserve"> </w:t>
          </w:r>
        </w:p>
      </w:tc>
    </w:tr>
  </w:tbl>
  <w:p w14:paraId="3D66D0F4" w14:textId="77777777" w:rsidR="00217173" w:rsidRDefault="00217173"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13FDDF2F" w14:textId="77777777" w:rsidTr="00217173">
      <w:trPr>
        <w:trHeight w:hRule="exact" w:val="437"/>
      </w:trPr>
      <w:tc>
        <w:tcPr>
          <w:tcW w:w="7938" w:type="dxa"/>
          <w:tcBorders>
            <w:top w:val="single" w:sz="4" w:space="0" w:color="00448A"/>
            <w:left w:val="nil"/>
            <w:bottom w:val="nil"/>
            <w:right w:val="nil"/>
          </w:tcBorders>
          <w:vAlign w:val="center"/>
          <w:hideMark/>
        </w:tcPr>
        <w:p w14:paraId="3DC4508B" w14:textId="77777777" w:rsidR="00217173" w:rsidRDefault="00B93FCA">
          <w:pPr>
            <w:pStyle w:val="Rodap"/>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2F52BBDD" w14:textId="77777777" w:rsidR="00217173" w:rsidRDefault="00217173">
          <w:pPr>
            <w:pStyle w:val="Rodap"/>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0D67D602" w14:textId="77777777" w:rsidR="00217173" w:rsidRDefault="00217173"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3FF0" w14:textId="77777777" w:rsidR="00B93FCA" w:rsidRDefault="00B93FCA" w:rsidP="001C6DA9">
      <w:r>
        <w:separator/>
      </w:r>
    </w:p>
  </w:footnote>
  <w:footnote w:type="continuationSeparator" w:id="0">
    <w:p w14:paraId="2B42F388" w14:textId="77777777" w:rsidR="00B93FCA" w:rsidRDefault="00B93FCA"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7CBF675B" w14:textId="77777777" w:rsidTr="00CF5210">
      <w:trPr>
        <w:trHeight w:hRule="exact" w:val="567"/>
      </w:trPr>
      <w:tc>
        <w:tcPr>
          <w:tcW w:w="8931" w:type="dxa"/>
          <w:tcBorders>
            <w:bottom w:val="single" w:sz="8" w:space="0" w:color="949494"/>
          </w:tcBorders>
          <w:shd w:val="clear" w:color="auto" w:fill="auto"/>
        </w:tcPr>
        <w:p w14:paraId="57035DDD" w14:textId="77777777" w:rsidR="00217173" w:rsidRPr="00E808B5" w:rsidRDefault="00CF5210" w:rsidP="00E30E9A">
          <w:pPr>
            <w:pStyle w:val="Cabealh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5002B2B5" wp14:editId="128EB98D">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3734B98F" w14:textId="77777777" w:rsidR="00217173" w:rsidRPr="00E808B5" w:rsidRDefault="00217173" w:rsidP="00BB4EDA">
          <w:pPr>
            <w:pStyle w:val="Cabealho"/>
            <w:rPr>
              <w:sz w:val="22"/>
              <w:lang w:val="en-US"/>
            </w:rPr>
          </w:pPr>
        </w:p>
      </w:tc>
    </w:tr>
  </w:tbl>
  <w:p w14:paraId="55ED080A" w14:textId="77777777" w:rsidR="00217173" w:rsidRPr="00E808B5" w:rsidRDefault="00217173">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40D30B0" w14:textId="77777777" w:rsidTr="002C746A">
      <w:trPr>
        <w:trHeight w:hRule="exact" w:val="567"/>
      </w:trPr>
      <w:tc>
        <w:tcPr>
          <w:tcW w:w="6803" w:type="dxa"/>
          <w:tcBorders>
            <w:bottom w:val="single" w:sz="4" w:space="0" w:color="00448A"/>
          </w:tcBorders>
          <w:shd w:val="clear" w:color="auto" w:fill="auto"/>
        </w:tcPr>
        <w:p w14:paraId="1DCD813B" w14:textId="77777777" w:rsidR="00826DC7" w:rsidRPr="009E6062" w:rsidRDefault="0003258A" w:rsidP="002C746A">
          <w:pPr>
            <w:pStyle w:val="Cabealho"/>
            <w:jc w:val="left"/>
          </w:pPr>
          <w:r>
            <w:t>Externer Zugriff auf Unternehmen</w:t>
          </w:r>
        </w:p>
      </w:tc>
      <w:tc>
        <w:tcPr>
          <w:tcW w:w="2041" w:type="dxa"/>
          <w:shd w:val="clear" w:color="auto" w:fill="auto"/>
          <w:vAlign w:val="center"/>
        </w:tcPr>
        <w:p w14:paraId="6FE37505" w14:textId="77777777" w:rsidR="00826DC7" w:rsidRPr="009E6062" w:rsidRDefault="00826DC7" w:rsidP="002C746A">
          <w:pPr>
            <w:pStyle w:val="Cabealho"/>
          </w:pPr>
          <w:r w:rsidRPr="009E6062">
            <w:rPr>
              <w:noProof/>
              <w:lang w:val="es-ES" w:eastAsia="es-ES"/>
            </w:rPr>
            <w:drawing>
              <wp:anchor distT="0" distB="0" distL="114300" distR="114300" simplePos="0" relativeHeight="251665408" behindDoc="1" locked="0" layoutInCell="1" allowOverlap="1" wp14:anchorId="08710A00" wp14:editId="7399692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9118AC3" w14:textId="77777777" w:rsidR="00826DC7" w:rsidRDefault="00826DC7">
    <w:pPr>
      <w:pStyle w:val="Cabealho"/>
    </w:pPr>
  </w:p>
  <w:p w14:paraId="0104FE83" w14:textId="77777777" w:rsidR="00826DC7" w:rsidRDefault="00826DC7"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1pt" o:bullet="t">
        <v:imagedata r:id="rId1" o:title="BD21300_"/>
      </v:shape>
    </w:pict>
  </w:numPicBullet>
  <w:numPicBullet w:numPicBulletId="1">
    <w:pict>
      <v:shape id="_x0000_i1058" type="#_x0000_t75" style="width:12pt;height:12pt" o:bullet="t">
        <v:imagedata r:id="rId2" o:title="BD14565_"/>
      </v:shape>
    </w:pict>
  </w:numPicBullet>
  <w:numPicBullet w:numPicBulletId="2">
    <w:pict>
      <v:shape id="_x0000_i1059" type="#_x0000_t75" style="width:14pt;height:12pt" o:bullet="t">
        <v:imagedata r:id="rId3" o:title="pfeil"/>
      </v:shape>
    </w:pict>
  </w:numPicBullet>
  <w:numPicBullet w:numPicBulletId="3">
    <w:pict>
      <v:shape id="_x0000_i1060" type="#_x0000_t75" style="width:14pt;height:14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1B0"/>
    <w:rsid w:val="000176E4"/>
    <w:rsid w:val="00021657"/>
    <w:rsid w:val="0003258A"/>
    <w:rsid w:val="00032B21"/>
    <w:rsid w:val="000447FB"/>
    <w:rsid w:val="00045783"/>
    <w:rsid w:val="000524E1"/>
    <w:rsid w:val="000556B2"/>
    <w:rsid w:val="00057973"/>
    <w:rsid w:val="000644A0"/>
    <w:rsid w:val="000668E2"/>
    <w:rsid w:val="000724C4"/>
    <w:rsid w:val="00081219"/>
    <w:rsid w:val="00082E55"/>
    <w:rsid w:val="000866AC"/>
    <w:rsid w:val="000A162B"/>
    <w:rsid w:val="000A3AAE"/>
    <w:rsid w:val="000A5871"/>
    <w:rsid w:val="000D1520"/>
    <w:rsid w:val="000E1DEA"/>
    <w:rsid w:val="000F148C"/>
    <w:rsid w:val="00106761"/>
    <w:rsid w:val="001207E4"/>
    <w:rsid w:val="00125033"/>
    <w:rsid w:val="001354E4"/>
    <w:rsid w:val="00146A46"/>
    <w:rsid w:val="0015460F"/>
    <w:rsid w:val="00161062"/>
    <w:rsid w:val="00161ABC"/>
    <w:rsid w:val="00172B8D"/>
    <w:rsid w:val="001734E8"/>
    <w:rsid w:val="00176C29"/>
    <w:rsid w:val="001806BF"/>
    <w:rsid w:val="001835E2"/>
    <w:rsid w:val="00183FEA"/>
    <w:rsid w:val="0019141D"/>
    <w:rsid w:val="001A39E3"/>
    <w:rsid w:val="001C6DA9"/>
    <w:rsid w:val="002001D2"/>
    <w:rsid w:val="0020694C"/>
    <w:rsid w:val="00217173"/>
    <w:rsid w:val="00227D9B"/>
    <w:rsid w:val="0024103A"/>
    <w:rsid w:val="00261238"/>
    <w:rsid w:val="00262F99"/>
    <w:rsid w:val="00263C6F"/>
    <w:rsid w:val="00270F36"/>
    <w:rsid w:val="00273C81"/>
    <w:rsid w:val="0027607D"/>
    <w:rsid w:val="00283563"/>
    <w:rsid w:val="0028378D"/>
    <w:rsid w:val="00284561"/>
    <w:rsid w:val="002909B1"/>
    <w:rsid w:val="00297B2D"/>
    <w:rsid w:val="002A6C8A"/>
    <w:rsid w:val="002B79EF"/>
    <w:rsid w:val="002C314C"/>
    <w:rsid w:val="002D2B24"/>
    <w:rsid w:val="002D4A9B"/>
    <w:rsid w:val="002D509E"/>
    <w:rsid w:val="002E768E"/>
    <w:rsid w:val="002F01D0"/>
    <w:rsid w:val="002F2EF2"/>
    <w:rsid w:val="002F4658"/>
    <w:rsid w:val="00322C99"/>
    <w:rsid w:val="00327412"/>
    <w:rsid w:val="003274E0"/>
    <w:rsid w:val="00331232"/>
    <w:rsid w:val="00331D03"/>
    <w:rsid w:val="00335B29"/>
    <w:rsid w:val="00337617"/>
    <w:rsid w:val="00354EEA"/>
    <w:rsid w:val="0036004D"/>
    <w:rsid w:val="003642A7"/>
    <w:rsid w:val="003774CD"/>
    <w:rsid w:val="00377E2E"/>
    <w:rsid w:val="003853E5"/>
    <w:rsid w:val="00390C90"/>
    <w:rsid w:val="00392556"/>
    <w:rsid w:val="003A3087"/>
    <w:rsid w:val="003A4A61"/>
    <w:rsid w:val="003A7BE4"/>
    <w:rsid w:val="003C0982"/>
    <w:rsid w:val="003C303C"/>
    <w:rsid w:val="003D4736"/>
    <w:rsid w:val="003E1ACD"/>
    <w:rsid w:val="00421116"/>
    <w:rsid w:val="00426AC1"/>
    <w:rsid w:val="0043113E"/>
    <w:rsid w:val="00450A94"/>
    <w:rsid w:val="0045483C"/>
    <w:rsid w:val="00457A2D"/>
    <w:rsid w:val="00470503"/>
    <w:rsid w:val="00492A52"/>
    <w:rsid w:val="004A423B"/>
    <w:rsid w:val="004A6709"/>
    <w:rsid w:val="004B4525"/>
    <w:rsid w:val="004B4697"/>
    <w:rsid w:val="004C6A08"/>
    <w:rsid w:val="004E34D0"/>
    <w:rsid w:val="004F1BF8"/>
    <w:rsid w:val="004F5833"/>
    <w:rsid w:val="005069A5"/>
    <w:rsid w:val="00513EDA"/>
    <w:rsid w:val="00520843"/>
    <w:rsid w:val="00521D28"/>
    <w:rsid w:val="005271C7"/>
    <w:rsid w:val="00544086"/>
    <w:rsid w:val="00553EF9"/>
    <w:rsid w:val="00591F24"/>
    <w:rsid w:val="005B603D"/>
    <w:rsid w:val="005C11BA"/>
    <w:rsid w:val="005C268F"/>
    <w:rsid w:val="005C6CB4"/>
    <w:rsid w:val="005D0984"/>
    <w:rsid w:val="005D4EB9"/>
    <w:rsid w:val="005E42A2"/>
    <w:rsid w:val="005E4A2C"/>
    <w:rsid w:val="005E4BA3"/>
    <w:rsid w:val="005E4F9F"/>
    <w:rsid w:val="005F6D0D"/>
    <w:rsid w:val="005F74D8"/>
    <w:rsid w:val="00603E31"/>
    <w:rsid w:val="00604BDD"/>
    <w:rsid w:val="006058F0"/>
    <w:rsid w:val="00621C21"/>
    <w:rsid w:val="00624ECA"/>
    <w:rsid w:val="00625B4C"/>
    <w:rsid w:val="006268DD"/>
    <w:rsid w:val="006328D7"/>
    <w:rsid w:val="00633B0A"/>
    <w:rsid w:val="00637377"/>
    <w:rsid w:val="00640AA8"/>
    <w:rsid w:val="006452B4"/>
    <w:rsid w:val="006478B0"/>
    <w:rsid w:val="0065147A"/>
    <w:rsid w:val="00654C51"/>
    <w:rsid w:val="0065613B"/>
    <w:rsid w:val="006562F7"/>
    <w:rsid w:val="0065664C"/>
    <w:rsid w:val="0066075E"/>
    <w:rsid w:val="00672B4E"/>
    <w:rsid w:val="00675FFB"/>
    <w:rsid w:val="006916D4"/>
    <w:rsid w:val="0069237C"/>
    <w:rsid w:val="006A5F68"/>
    <w:rsid w:val="006A798A"/>
    <w:rsid w:val="006B0A70"/>
    <w:rsid w:val="006C1596"/>
    <w:rsid w:val="006F61A9"/>
    <w:rsid w:val="007034A2"/>
    <w:rsid w:val="00711E17"/>
    <w:rsid w:val="00712D52"/>
    <w:rsid w:val="00714057"/>
    <w:rsid w:val="00754BC1"/>
    <w:rsid w:val="00756160"/>
    <w:rsid w:val="0076339D"/>
    <w:rsid w:val="0076755F"/>
    <w:rsid w:val="00772C27"/>
    <w:rsid w:val="00772E70"/>
    <w:rsid w:val="00782F22"/>
    <w:rsid w:val="00786C79"/>
    <w:rsid w:val="0079448E"/>
    <w:rsid w:val="007A4E3E"/>
    <w:rsid w:val="007A7474"/>
    <w:rsid w:val="007B72FA"/>
    <w:rsid w:val="007C1433"/>
    <w:rsid w:val="007C2175"/>
    <w:rsid w:val="007C7B20"/>
    <w:rsid w:val="007D1FDA"/>
    <w:rsid w:val="007E5F83"/>
    <w:rsid w:val="007E6559"/>
    <w:rsid w:val="007F71C1"/>
    <w:rsid w:val="007F7B10"/>
    <w:rsid w:val="00804C1D"/>
    <w:rsid w:val="00806748"/>
    <w:rsid w:val="008067B4"/>
    <w:rsid w:val="00815B81"/>
    <w:rsid w:val="008178E3"/>
    <w:rsid w:val="00826DC7"/>
    <w:rsid w:val="00837506"/>
    <w:rsid w:val="008404A1"/>
    <w:rsid w:val="0084332E"/>
    <w:rsid w:val="00846172"/>
    <w:rsid w:val="00850561"/>
    <w:rsid w:val="008562F8"/>
    <w:rsid w:val="0086356D"/>
    <w:rsid w:val="008701CC"/>
    <w:rsid w:val="0088588F"/>
    <w:rsid w:val="008862CD"/>
    <w:rsid w:val="008A0443"/>
    <w:rsid w:val="008A1479"/>
    <w:rsid w:val="008B5A4C"/>
    <w:rsid w:val="008D295D"/>
    <w:rsid w:val="008D3B16"/>
    <w:rsid w:val="008D4739"/>
    <w:rsid w:val="008D4742"/>
    <w:rsid w:val="008D642C"/>
    <w:rsid w:val="008E31BC"/>
    <w:rsid w:val="008E66A7"/>
    <w:rsid w:val="00911285"/>
    <w:rsid w:val="00914135"/>
    <w:rsid w:val="00921BFD"/>
    <w:rsid w:val="00940C77"/>
    <w:rsid w:val="00941290"/>
    <w:rsid w:val="00944D56"/>
    <w:rsid w:val="00961123"/>
    <w:rsid w:val="00970997"/>
    <w:rsid w:val="00971AEA"/>
    <w:rsid w:val="0097258C"/>
    <w:rsid w:val="009875FF"/>
    <w:rsid w:val="00991AEA"/>
    <w:rsid w:val="009A7C16"/>
    <w:rsid w:val="009C5DB6"/>
    <w:rsid w:val="009C7CD3"/>
    <w:rsid w:val="009D0C9C"/>
    <w:rsid w:val="009D66D1"/>
    <w:rsid w:val="009D752B"/>
    <w:rsid w:val="009E035B"/>
    <w:rsid w:val="009F346E"/>
    <w:rsid w:val="00A0268E"/>
    <w:rsid w:val="00A032BA"/>
    <w:rsid w:val="00A06290"/>
    <w:rsid w:val="00A17B03"/>
    <w:rsid w:val="00A31A9F"/>
    <w:rsid w:val="00A35EB4"/>
    <w:rsid w:val="00A4407F"/>
    <w:rsid w:val="00A46CBF"/>
    <w:rsid w:val="00A618F6"/>
    <w:rsid w:val="00A65D28"/>
    <w:rsid w:val="00A7154C"/>
    <w:rsid w:val="00A80D77"/>
    <w:rsid w:val="00A85FD7"/>
    <w:rsid w:val="00A91110"/>
    <w:rsid w:val="00AA73E1"/>
    <w:rsid w:val="00AB0633"/>
    <w:rsid w:val="00AB2DE9"/>
    <w:rsid w:val="00AB7281"/>
    <w:rsid w:val="00AB75C4"/>
    <w:rsid w:val="00AC2555"/>
    <w:rsid w:val="00AD24A6"/>
    <w:rsid w:val="00AD2E69"/>
    <w:rsid w:val="00AD3FDC"/>
    <w:rsid w:val="00AE26D8"/>
    <w:rsid w:val="00AE348B"/>
    <w:rsid w:val="00AE65AF"/>
    <w:rsid w:val="00AE6661"/>
    <w:rsid w:val="00AF7B25"/>
    <w:rsid w:val="00B265AE"/>
    <w:rsid w:val="00B27E43"/>
    <w:rsid w:val="00B360AF"/>
    <w:rsid w:val="00B370D6"/>
    <w:rsid w:val="00B44F45"/>
    <w:rsid w:val="00B4763D"/>
    <w:rsid w:val="00B57047"/>
    <w:rsid w:val="00B6580B"/>
    <w:rsid w:val="00B65EDC"/>
    <w:rsid w:val="00B7238B"/>
    <w:rsid w:val="00B7521D"/>
    <w:rsid w:val="00B762B8"/>
    <w:rsid w:val="00B83824"/>
    <w:rsid w:val="00B93FCA"/>
    <w:rsid w:val="00BB18C3"/>
    <w:rsid w:val="00BE06B5"/>
    <w:rsid w:val="00BE0C92"/>
    <w:rsid w:val="00BE1830"/>
    <w:rsid w:val="00BF2637"/>
    <w:rsid w:val="00BF62A4"/>
    <w:rsid w:val="00C36E4E"/>
    <w:rsid w:val="00C46C5A"/>
    <w:rsid w:val="00C52B30"/>
    <w:rsid w:val="00C53F18"/>
    <w:rsid w:val="00C653EA"/>
    <w:rsid w:val="00C67B3D"/>
    <w:rsid w:val="00C71410"/>
    <w:rsid w:val="00C7159F"/>
    <w:rsid w:val="00C74BC7"/>
    <w:rsid w:val="00C97C0D"/>
    <w:rsid w:val="00CA042B"/>
    <w:rsid w:val="00CA117B"/>
    <w:rsid w:val="00CA2B9D"/>
    <w:rsid w:val="00CA328A"/>
    <w:rsid w:val="00CA36C2"/>
    <w:rsid w:val="00CB189B"/>
    <w:rsid w:val="00CB331C"/>
    <w:rsid w:val="00CC4A20"/>
    <w:rsid w:val="00CD2966"/>
    <w:rsid w:val="00CE2E21"/>
    <w:rsid w:val="00CE4646"/>
    <w:rsid w:val="00CE4BB3"/>
    <w:rsid w:val="00CE66D7"/>
    <w:rsid w:val="00CF307B"/>
    <w:rsid w:val="00CF5210"/>
    <w:rsid w:val="00D0301E"/>
    <w:rsid w:val="00D04B24"/>
    <w:rsid w:val="00D12304"/>
    <w:rsid w:val="00D155EC"/>
    <w:rsid w:val="00D15614"/>
    <w:rsid w:val="00D159FE"/>
    <w:rsid w:val="00D20486"/>
    <w:rsid w:val="00D430AB"/>
    <w:rsid w:val="00D47FA3"/>
    <w:rsid w:val="00D51330"/>
    <w:rsid w:val="00D76C94"/>
    <w:rsid w:val="00D775A2"/>
    <w:rsid w:val="00D82F9B"/>
    <w:rsid w:val="00D8634E"/>
    <w:rsid w:val="00D95C57"/>
    <w:rsid w:val="00DB0FD6"/>
    <w:rsid w:val="00DB5A25"/>
    <w:rsid w:val="00DC3B54"/>
    <w:rsid w:val="00DD3885"/>
    <w:rsid w:val="00DE42B7"/>
    <w:rsid w:val="00DF0B22"/>
    <w:rsid w:val="00DF6AE2"/>
    <w:rsid w:val="00E05255"/>
    <w:rsid w:val="00E14A13"/>
    <w:rsid w:val="00E26FDE"/>
    <w:rsid w:val="00E30270"/>
    <w:rsid w:val="00E30E9A"/>
    <w:rsid w:val="00E366C1"/>
    <w:rsid w:val="00E61583"/>
    <w:rsid w:val="00E664EF"/>
    <w:rsid w:val="00E70050"/>
    <w:rsid w:val="00E726AE"/>
    <w:rsid w:val="00E808B5"/>
    <w:rsid w:val="00E83D8C"/>
    <w:rsid w:val="00E85027"/>
    <w:rsid w:val="00E85888"/>
    <w:rsid w:val="00E9480B"/>
    <w:rsid w:val="00E9765F"/>
    <w:rsid w:val="00EA1163"/>
    <w:rsid w:val="00EA1BEE"/>
    <w:rsid w:val="00EA4200"/>
    <w:rsid w:val="00EB13B6"/>
    <w:rsid w:val="00EB1A77"/>
    <w:rsid w:val="00EB4A65"/>
    <w:rsid w:val="00EC12CF"/>
    <w:rsid w:val="00ED16A5"/>
    <w:rsid w:val="00EF3A42"/>
    <w:rsid w:val="00F00D95"/>
    <w:rsid w:val="00F0223D"/>
    <w:rsid w:val="00F042E7"/>
    <w:rsid w:val="00F04DEC"/>
    <w:rsid w:val="00F17006"/>
    <w:rsid w:val="00F27546"/>
    <w:rsid w:val="00F27AC6"/>
    <w:rsid w:val="00F334D3"/>
    <w:rsid w:val="00F42505"/>
    <w:rsid w:val="00F52612"/>
    <w:rsid w:val="00F530E9"/>
    <w:rsid w:val="00F56A4D"/>
    <w:rsid w:val="00F75D01"/>
    <w:rsid w:val="00F81C70"/>
    <w:rsid w:val="00F97909"/>
    <w:rsid w:val="00FA0B53"/>
    <w:rsid w:val="00FA3226"/>
    <w:rsid w:val="00FA4913"/>
    <w:rsid w:val="00FB1BB0"/>
    <w:rsid w:val="00FB269D"/>
    <w:rsid w:val="00FB599F"/>
    <w:rsid w:val="00FB76D0"/>
    <w:rsid w:val="00FC404A"/>
    <w:rsid w:val="00FD39E6"/>
    <w:rsid w:val="00FE1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84FC"/>
  <w15:docId w15:val="{C737B8BE-FAA5-F243-AD1D-27019ECD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semiHidden/>
    <w:unhideWhenUsed/>
    <w:rsid w:val="00161062"/>
    <w:rPr>
      <w:sz w:val="20"/>
      <w:szCs w:val="20"/>
    </w:rPr>
  </w:style>
  <w:style w:type="character" w:customStyle="1" w:styleId="TextodecomentrioCarter">
    <w:name w:val="Texto de comentário Caráter"/>
    <w:basedOn w:val="Tipodeletrapredefinidodopargrafo"/>
    <w:link w:val="Textodecomentrio"/>
    <w:uiPriority w:val="99"/>
    <w:semiHidden/>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uiPriority w:val="1"/>
    <w:qFormat/>
    <w:rsid w:val="006A798A"/>
    <w:pPr>
      <w:spacing w:after="0" w:line="240" w:lineRule="auto"/>
    </w:pPr>
    <w:rPr>
      <w:rFonts w:ascii="Calibri" w:eastAsia="Calibri" w:hAnsi="Calibri" w:cs="Times New Roman"/>
      <w:lang w:val="en-GB"/>
    </w:rPr>
  </w:style>
  <w:style w:type="character" w:customStyle="1" w:styleId="s8">
    <w:name w:val="s8"/>
    <w:basedOn w:val="Tipodeletrapredefinidodopargrafo"/>
    <w:rsid w:val="004B4697"/>
  </w:style>
  <w:style w:type="character" w:customStyle="1" w:styleId="apple-converted-space">
    <w:name w:val="apple-converted-space"/>
    <w:basedOn w:val="Tipodeletrapredefinidodopargrafo"/>
    <w:rsid w:val="00E61583"/>
  </w:style>
  <w:style w:type="character" w:customStyle="1" w:styleId="MenoNoResolvida1">
    <w:name w:val="Menção Não Resolvida1"/>
    <w:basedOn w:val="Tipodeletrapredefinidodopargrafo"/>
    <w:uiPriority w:val="99"/>
    <w:semiHidden/>
    <w:unhideWhenUsed/>
    <w:rsid w:val="00331D03"/>
    <w:rPr>
      <w:color w:val="605E5C"/>
      <w:shd w:val="clear" w:color="auto" w:fill="E1DFDD"/>
    </w:rPr>
  </w:style>
  <w:style w:type="character" w:customStyle="1" w:styleId="jlqj4b">
    <w:name w:val="jlqj4b"/>
    <w:basedOn w:val="Tipodeletrapredefinidodopargrafo"/>
    <w:rsid w:val="00BF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8798">
      <w:bodyDiv w:val="1"/>
      <w:marLeft w:val="0"/>
      <w:marRight w:val="0"/>
      <w:marTop w:val="0"/>
      <w:marBottom w:val="0"/>
      <w:divBdr>
        <w:top w:val="none" w:sz="0" w:space="0" w:color="auto"/>
        <w:left w:val="none" w:sz="0" w:space="0" w:color="auto"/>
        <w:bottom w:val="none" w:sz="0" w:space="0" w:color="auto"/>
        <w:right w:val="none" w:sz="0" w:space="0" w:color="auto"/>
      </w:divBdr>
    </w:div>
    <w:div w:id="147984628">
      <w:bodyDiv w:val="1"/>
      <w:marLeft w:val="0"/>
      <w:marRight w:val="0"/>
      <w:marTop w:val="0"/>
      <w:marBottom w:val="0"/>
      <w:divBdr>
        <w:top w:val="none" w:sz="0" w:space="0" w:color="auto"/>
        <w:left w:val="none" w:sz="0" w:space="0" w:color="auto"/>
        <w:bottom w:val="none" w:sz="0" w:space="0" w:color="auto"/>
        <w:right w:val="none" w:sz="0" w:space="0" w:color="auto"/>
      </w:divBdr>
    </w:div>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331180390">
      <w:bodyDiv w:val="1"/>
      <w:marLeft w:val="0"/>
      <w:marRight w:val="0"/>
      <w:marTop w:val="0"/>
      <w:marBottom w:val="0"/>
      <w:divBdr>
        <w:top w:val="none" w:sz="0" w:space="0" w:color="auto"/>
        <w:left w:val="none" w:sz="0" w:space="0" w:color="auto"/>
        <w:bottom w:val="none" w:sz="0" w:space="0" w:color="auto"/>
        <w:right w:val="none" w:sz="0" w:space="0" w:color="auto"/>
      </w:divBdr>
    </w:div>
    <w:div w:id="354503775">
      <w:bodyDiv w:val="1"/>
      <w:marLeft w:val="0"/>
      <w:marRight w:val="0"/>
      <w:marTop w:val="0"/>
      <w:marBottom w:val="0"/>
      <w:divBdr>
        <w:top w:val="none" w:sz="0" w:space="0" w:color="auto"/>
        <w:left w:val="none" w:sz="0" w:space="0" w:color="auto"/>
        <w:bottom w:val="none" w:sz="0" w:space="0" w:color="auto"/>
        <w:right w:val="none" w:sz="0" w:space="0" w:color="auto"/>
      </w:divBdr>
    </w:div>
    <w:div w:id="441145590">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466709037">
      <w:bodyDiv w:val="1"/>
      <w:marLeft w:val="0"/>
      <w:marRight w:val="0"/>
      <w:marTop w:val="0"/>
      <w:marBottom w:val="0"/>
      <w:divBdr>
        <w:top w:val="none" w:sz="0" w:space="0" w:color="auto"/>
        <w:left w:val="none" w:sz="0" w:space="0" w:color="auto"/>
        <w:bottom w:val="none" w:sz="0" w:space="0" w:color="auto"/>
        <w:right w:val="none" w:sz="0" w:space="0" w:color="auto"/>
      </w:divBdr>
    </w:div>
    <w:div w:id="572740925">
      <w:bodyDiv w:val="1"/>
      <w:marLeft w:val="0"/>
      <w:marRight w:val="0"/>
      <w:marTop w:val="0"/>
      <w:marBottom w:val="0"/>
      <w:divBdr>
        <w:top w:val="none" w:sz="0" w:space="0" w:color="auto"/>
        <w:left w:val="none" w:sz="0" w:space="0" w:color="auto"/>
        <w:bottom w:val="none" w:sz="0" w:space="0" w:color="auto"/>
        <w:right w:val="none" w:sz="0" w:space="0" w:color="auto"/>
      </w:divBdr>
    </w:div>
    <w:div w:id="730882057">
      <w:bodyDiv w:val="1"/>
      <w:marLeft w:val="0"/>
      <w:marRight w:val="0"/>
      <w:marTop w:val="0"/>
      <w:marBottom w:val="0"/>
      <w:divBdr>
        <w:top w:val="none" w:sz="0" w:space="0" w:color="auto"/>
        <w:left w:val="none" w:sz="0" w:space="0" w:color="auto"/>
        <w:bottom w:val="none" w:sz="0" w:space="0" w:color="auto"/>
        <w:right w:val="none" w:sz="0" w:space="0" w:color="auto"/>
      </w:divBdr>
    </w:div>
    <w:div w:id="1096680064">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1800482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 w:id="1978611099">
      <w:bodyDiv w:val="1"/>
      <w:marLeft w:val="0"/>
      <w:marRight w:val="0"/>
      <w:marTop w:val="0"/>
      <w:marBottom w:val="0"/>
      <w:divBdr>
        <w:top w:val="none" w:sz="0" w:space="0" w:color="auto"/>
        <w:left w:val="none" w:sz="0" w:space="0" w:color="auto"/>
        <w:bottom w:val="none" w:sz="0" w:space="0" w:color="auto"/>
        <w:right w:val="none" w:sz="0" w:space="0" w:color="auto"/>
      </w:divBdr>
      <w:divsChild>
        <w:div w:id="354119039">
          <w:marLeft w:val="0"/>
          <w:marRight w:val="0"/>
          <w:marTop w:val="60"/>
          <w:marBottom w:val="0"/>
          <w:divBdr>
            <w:top w:val="none" w:sz="0" w:space="0" w:color="auto"/>
            <w:left w:val="none" w:sz="0" w:space="0" w:color="auto"/>
            <w:bottom w:val="none" w:sz="0" w:space="0" w:color="auto"/>
            <w:right w:val="none" w:sz="0" w:space="0" w:color="auto"/>
          </w:divBdr>
        </w:div>
        <w:div w:id="728576273">
          <w:marLeft w:val="0"/>
          <w:marRight w:val="0"/>
          <w:marTop w:val="0"/>
          <w:marBottom w:val="0"/>
          <w:divBdr>
            <w:top w:val="none" w:sz="0" w:space="0" w:color="auto"/>
            <w:left w:val="none" w:sz="0" w:space="0" w:color="auto"/>
            <w:bottom w:val="none" w:sz="0" w:space="0" w:color="auto"/>
            <w:right w:val="none" w:sz="0" w:space="0" w:color="auto"/>
          </w:divBdr>
          <w:divsChild>
            <w:div w:id="177548058">
              <w:marLeft w:val="0"/>
              <w:marRight w:val="0"/>
              <w:marTop w:val="0"/>
              <w:marBottom w:val="0"/>
              <w:divBdr>
                <w:top w:val="none" w:sz="0" w:space="0" w:color="auto"/>
                <w:left w:val="none" w:sz="0" w:space="0" w:color="auto"/>
                <w:bottom w:val="none" w:sz="0" w:space="0" w:color="auto"/>
                <w:right w:val="none" w:sz="0" w:space="0" w:color="auto"/>
              </w:divBdr>
              <w:divsChild>
                <w:div w:id="1032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2">
      <w:bodyDiv w:val="1"/>
      <w:marLeft w:val="0"/>
      <w:marRight w:val="0"/>
      <w:marTop w:val="0"/>
      <w:marBottom w:val="0"/>
      <w:divBdr>
        <w:top w:val="none" w:sz="0" w:space="0" w:color="auto"/>
        <w:left w:val="none" w:sz="0" w:space="0" w:color="auto"/>
        <w:bottom w:val="none" w:sz="0" w:space="0" w:color="auto"/>
        <w:right w:val="none" w:sz="0" w:space="0" w:color="auto"/>
      </w:divBdr>
    </w:div>
    <w:div w:id="2116631981">
      <w:bodyDiv w:val="1"/>
      <w:marLeft w:val="0"/>
      <w:marRight w:val="0"/>
      <w:marTop w:val="0"/>
      <w:marBottom w:val="0"/>
      <w:divBdr>
        <w:top w:val="none" w:sz="0" w:space="0" w:color="auto"/>
        <w:left w:val="none" w:sz="0" w:space="0" w:color="auto"/>
        <w:bottom w:val="none" w:sz="0" w:space="0" w:color="auto"/>
        <w:right w:val="none" w:sz="0" w:space="0" w:color="auto"/>
      </w:divBdr>
      <w:divsChild>
        <w:div w:id="2120486720">
          <w:marLeft w:val="0"/>
          <w:marRight w:val="0"/>
          <w:marTop w:val="60"/>
          <w:marBottom w:val="0"/>
          <w:divBdr>
            <w:top w:val="none" w:sz="0" w:space="0" w:color="auto"/>
            <w:left w:val="none" w:sz="0" w:space="0" w:color="auto"/>
            <w:bottom w:val="none" w:sz="0" w:space="0" w:color="auto"/>
            <w:right w:val="none" w:sz="0" w:space="0" w:color="auto"/>
          </w:divBdr>
        </w:div>
        <w:div w:id="59134241">
          <w:marLeft w:val="0"/>
          <w:marRight w:val="0"/>
          <w:marTop w:val="0"/>
          <w:marBottom w:val="0"/>
          <w:divBdr>
            <w:top w:val="none" w:sz="0" w:space="0" w:color="auto"/>
            <w:left w:val="none" w:sz="0" w:space="0" w:color="auto"/>
            <w:bottom w:val="none" w:sz="0" w:space="0" w:color="auto"/>
            <w:right w:val="none" w:sz="0" w:space="0" w:color="auto"/>
          </w:divBdr>
          <w:divsChild>
            <w:div w:id="614139995">
              <w:marLeft w:val="0"/>
              <w:marRight w:val="0"/>
              <w:marTop w:val="0"/>
              <w:marBottom w:val="0"/>
              <w:divBdr>
                <w:top w:val="none" w:sz="0" w:space="0" w:color="auto"/>
                <w:left w:val="none" w:sz="0" w:space="0" w:color="auto"/>
                <w:bottom w:val="none" w:sz="0" w:space="0" w:color="auto"/>
                <w:right w:val="none" w:sz="0" w:space="0" w:color="auto"/>
              </w:divBdr>
              <w:divsChild>
                <w:div w:id="208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DE0A-434F-7A4C-82E7-03D34AA1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5053</Characters>
  <Application>Microsoft Office Word</Application>
  <DocSecurity>0</DocSecurity>
  <Lines>42</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Utilizador do Microsoft Office</cp:lastModifiedBy>
  <cp:revision>4</cp:revision>
  <cp:lastPrinted>2017-10-23T13:46:00Z</cp:lastPrinted>
  <dcterms:created xsi:type="dcterms:W3CDTF">2021-04-20T06:36:00Z</dcterms:created>
  <dcterms:modified xsi:type="dcterms:W3CDTF">2021-04-20T07:51:00Z</dcterms:modified>
</cp:coreProperties>
</file>