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675E" w14:textId="77777777" w:rsidR="00077F48" w:rsidRPr="001A1A46" w:rsidRDefault="00077F48" w:rsidP="00FD0C47">
      <w:pPr>
        <w:rPr>
          <w:rFonts w:asciiTheme="minorHAnsi" w:hAnsiTheme="minorHAnsi" w:cstheme="minorHAnsi"/>
          <w:b/>
          <w:lang w:val="it-IT"/>
        </w:rPr>
      </w:pPr>
      <w:r w:rsidRPr="001A1A46">
        <w:rPr>
          <w:rFonts w:asciiTheme="minorHAnsi" w:hAnsiTheme="minorHAnsi" w:cstheme="minorHAnsi"/>
          <w:b/>
          <w:lang w:val="it-IT"/>
        </w:rPr>
        <w:t xml:space="preserve">FOR IMMEDIATE RELEASE     </w:t>
      </w:r>
    </w:p>
    <w:p w14:paraId="37E25D4B" w14:textId="77777777" w:rsidR="00F345FE" w:rsidRDefault="00F345FE" w:rsidP="00F345FE">
      <w:pPr>
        <w:rPr>
          <w:rFonts w:asciiTheme="minorHAnsi" w:hAnsiTheme="minorHAnsi" w:cstheme="minorHAnsi"/>
          <w:b/>
          <w:bCs/>
          <w:lang w:val="it-IT"/>
        </w:rPr>
      </w:pPr>
    </w:p>
    <w:p w14:paraId="461DB1DA" w14:textId="3280F94E" w:rsidR="00F345FE" w:rsidRPr="00F345FE" w:rsidRDefault="00F345FE" w:rsidP="00F345FE">
      <w:pPr>
        <w:rPr>
          <w:rFonts w:asciiTheme="minorHAnsi" w:hAnsiTheme="minorHAnsi" w:cstheme="minorHAnsi"/>
          <w:b/>
          <w:bCs/>
          <w:lang w:val="it-IT"/>
        </w:rPr>
      </w:pPr>
      <w:r w:rsidRPr="00F345FE">
        <w:rPr>
          <w:rFonts w:asciiTheme="minorHAnsi" w:hAnsiTheme="minorHAnsi" w:cstheme="minorHAnsi"/>
          <w:b/>
          <w:bCs/>
          <w:lang w:val="it-IT"/>
        </w:rPr>
        <w:t xml:space="preserve">Per i trasformatori di verdure IFQ (surgelate individualmente), la tecnologia di selezione BSI+ </w:t>
      </w:r>
      <w:r w:rsidR="00D95094">
        <w:rPr>
          <w:rFonts w:asciiTheme="minorHAnsi" w:hAnsiTheme="minorHAnsi" w:cstheme="minorHAnsi"/>
          <w:b/>
          <w:bCs/>
          <w:lang w:val="it-IT"/>
        </w:rPr>
        <w:t xml:space="preserve">di TOMRA Food </w:t>
      </w:r>
      <w:r w:rsidRPr="00F345FE">
        <w:rPr>
          <w:rFonts w:asciiTheme="minorHAnsi" w:hAnsiTheme="minorHAnsi" w:cstheme="minorHAnsi"/>
          <w:b/>
          <w:bCs/>
          <w:lang w:val="it-IT"/>
        </w:rPr>
        <w:t xml:space="preserve">compie la "missione impossibile" </w:t>
      </w:r>
    </w:p>
    <w:p w14:paraId="7C3CD4A7" w14:textId="77777777" w:rsidR="00F345FE" w:rsidRPr="00605DD7" w:rsidRDefault="00F345FE" w:rsidP="00F345FE">
      <w:pPr>
        <w:rPr>
          <w:lang w:val="it-IT"/>
        </w:rPr>
      </w:pPr>
    </w:p>
    <w:p w14:paraId="44B7106A" w14:textId="76980C04" w:rsidR="00F345FE" w:rsidRPr="00F345FE" w:rsidRDefault="001B536E" w:rsidP="00F345FE">
      <w:pPr>
        <w:pStyle w:val="western"/>
        <w:spacing w:before="0" w:beforeAutospacing="0" w:after="160" w:line="259" w:lineRule="auto"/>
        <w:rPr>
          <w:bCs/>
          <w:lang w:val="it-IT"/>
        </w:rPr>
      </w:pPr>
      <w:r>
        <w:rPr>
          <w:b/>
          <w:lang w:val="it-IT"/>
        </w:rPr>
        <w:t xml:space="preserve">17 </w:t>
      </w:r>
      <w:r w:rsidR="00F345FE" w:rsidRPr="00F345FE">
        <w:rPr>
          <w:b/>
          <w:lang w:val="it-IT"/>
        </w:rPr>
        <w:t>Marzo 2021</w:t>
      </w:r>
      <w:r w:rsidR="00F345FE" w:rsidRPr="00F345FE">
        <w:rPr>
          <w:bCs/>
          <w:lang w:val="it-IT"/>
        </w:rPr>
        <w:t xml:space="preserve"> </w:t>
      </w:r>
      <w:r w:rsidR="00D95094">
        <w:rPr>
          <w:bCs/>
          <w:lang w:val="it-IT"/>
        </w:rPr>
        <w:t>–</w:t>
      </w:r>
      <w:r w:rsidR="00F345FE" w:rsidRPr="00F345FE">
        <w:rPr>
          <w:bCs/>
          <w:lang w:val="it-IT"/>
        </w:rPr>
        <w:t xml:space="preserve"> Adempiere alle due maggiori responsabilità della lavorazione delle verdure surgelate IQF - la sicurezza alimentare e la qualità del prodotto - può talvolta sembrare una missione impossibile. Sebbene i trasformatori abbiano il compito di impedire che materiali estranei e prodotti imperfetti raggiungano la fine della linea, questi nemici difficili da vedere possono anche essere difficili da fermare. Il materiale vegetale estraneo (EVM) e le sostanze vegetali estranee (FEVM) sono spesso invisibili all'occhio umano e non sempre rilevabili dalle selezionatrici convenzionali. </w:t>
      </w:r>
    </w:p>
    <w:p w14:paraId="3DFD9530" w14:textId="21EB00CD" w:rsidR="00F345FE" w:rsidRPr="00F345FE" w:rsidRDefault="005413C4" w:rsidP="00F345FE">
      <w:pPr>
        <w:pStyle w:val="western"/>
        <w:spacing w:before="0" w:beforeAutospacing="0" w:after="160" w:line="259" w:lineRule="auto"/>
        <w:rPr>
          <w:bCs/>
          <w:lang w:val="it-IT"/>
        </w:rPr>
      </w:pPr>
      <w:r>
        <w:rPr>
          <w:bCs/>
          <w:lang w:val="it-IT"/>
        </w:rPr>
        <w:t>Ora però</w:t>
      </w:r>
      <w:r w:rsidR="00F345FE" w:rsidRPr="00F345FE">
        <w:rPr>
          <w:bCs/>
          <w:lang w:val="it-IT"/>
        </w:rPr>
        <w:t xml:space="preserve"> esiste sul mercato una tecnologia di selezione innovativa che rende possibile ciò che prima </w:t>
      </w:r>
      <w:r w:rsidR="008C747D">
        <w:rPr>
          <w:bCs/>
          <w:lang w:val="it-IT"/>
        </w:rPr>
        <w:t>non lo era</w:t>
      </w:r>
      <w:r w:rsidR="00F345FE" w:rsidRPr="00F345FE">
        <w:rPr>
          <w:bCs/>
          <w:lang w:val="it-IT"/>
        </w:rPr>
        <w:t>. Questa tecnologia si trova esclusivamente nella Nimbus BSI+ di TOMRA Food</w:t>
      </w:r>
      <w:r w:rsidR="008C747D">
        <w:rPr>
          <w:bCs/>
          <w:lang w:val="it-IT"/>
        </w:rPr>
        <w:t xml:space="preserve"> e </w:t>
      </w:r>
      <w:r w:rsidR="00F345FE" w:rsidRPr="00F345FE">
        <w:rPr>
          <w:bCs/>
          <w:lang w:val="it-IT"/>
        </w:rPr>
        <w:t>combina la piattaforma laser a caduta libera Nimbus, collaudata con successo nel corso di molti anni, con l'innovativa tecnologia di scansione BSI (</w:t>
      </w:r>
      <w:proofErr w:type="spellStart"/>
      <w:r w:rsidR="00F345FE" w:rsidRPr="00F345FE">
        <w:rPr>
          <w:bCs/>
          <w:lang w:val="it-IT"/>
        </w:rPr>
        <w:t>Biometric</w:t>
      </w:r>
      <w:proofErr w:type="spellEnd"/>
      <w:r w:rsidR="00F345FE" w:rsidRPr="00F345FE">
        <w:rPr>
          <w:bCs/>
          <w:lang w:val="it-IT"/>
        </w:rPr>
        <w:t xml:space="preserve"> </w:t>
      </w:r>
      <w:proofErr w:type="spellStart"/>
      <w:r w:rsidR="00F345FE" w:rsidRPr="00F345FE">
        <w:rPr>
          <w:bCs/>
          <w:lang w:val="it-IT"/>
        </w:rPr>
        <w:t>Signature</w:t>
      </w:r>
      <w:proofErr w:type="spellEnd"/>
      <w:r w:rsidR="00F345FE" w:rsidRPr="00F345FE">
        <w:rPr>
          <w:bCs/>
          <w:lang w:val="it-IT"/>
        </w:rPr>
        <w:t xml:space="preserve"> </w:t>
      </w:r>
      <w:proofErr w:type="spellStart"/>
      <w:r w:rsidR="00F345FE" w:rsidRPr="00F345FE">
        <w:rPr>
          <w:bCs/>
          <w:lang w:val="it-IT"/>
        </w:rPr>
        <w:t>Identification</w:t>
      </w:r>
      <w:proofErr w:type="spellEnd"/>
      <w:r w:rsidR="00F345FE" w:rsidRPr="00F345FE">
        <w:rPr>
          <w:bCs/>
          <w:lang w:val="it-IT"/>
        </w:rPr>
        <w:t xml:space="preserve">). Il team di ricerca e sviluppo internazionale di TOMRA ha progettato e sviluppato BSI e BSI+ (che utilizza uno spettro più ampio rispetto al BSI standard) per gestire compiti di selezione che altre tecnologie non possono svolgere. Il risultato è una precisione di selezione senza pari, non solo quando si tratta di un tipo di verdura, ma anche di miscele di verdure. </w:t>
      </w:r>
    </w:p>
    <w:p w14:paraId="68D32273" w14:textId="6D9E2DFB" w:rsidR="005413C4" w:rsidRPr="005413C4" w:rsidRDefault="005413C4" w:rsidP="00F345FE">
      <w:pPr>
        <w:pStyle w:val="western"/>
        <w:spacing w:before="0" w:beforeAutospacing="0" w:after="160" w:line="259" w:lineRule="auto"/>
        <w:rPr>
          <w:b/>
          <w:lang w:val="it-IT"/>
        </w:rPr>
      </w:pPr>
      <w:r w:rsidRPr="005413C4">
        <w:rPr>
          <w:b/>
          <w:lang w:val="it-IT"/>
        </w:rPr>
        <w:t xml:space="preserve">Mix di verdure e prodotti singoli, selezione sempre accurata </w:t>
      </w:r>
    </w:p>
    <w:p w14:paraId="445134BE" w14:textId="6002DC87" w:rsidR="00F345FE" w:rsidRDefault="00F345FE" w:rsidP="00F345FE">
      <w:pPr>
        <w:pStyle w:val="western"/>
        <w:spacing w:before="0" w:beforeAutospacing="0" w:after="160" w:line="259" w:lineRule="auto"/>
        <w:rPr>
          <w:bCs/>
          <w:lang w:val="it-IT"/>
        </w:rPr>
      </w:pPr>
      <w:r w:rsidRPr="00F345FE">
        <w:rPr>
          <w:bCs/>
          <w:lang w:val="it-IT"/>
        </w:rPr>
        <w:t>I mix di verdure sono davvero una "missione impossibile" per le selezionatrici convenzionali, perché portano tanti colori diversi nel flusso del prodotto. Con BSI+, tuttavia, la missione può essere compiuta</w:t>
      </w:r>
      <w:r w:rsidR="005413C4">
        <w:rPr>
          <w:bCs/>
          <w:lang w:val="it-IT"/>
        </w:rPr>
        <w:t xml:space="preserve"> e il materiale indesiderato può essere differenziato dal prodotto buono, </w:t>
      </w:r>
      <w:r w:rsidRPr="00F345FE">
        <w:rPr>
          <w:bCs/>
          <w:lang w:val="it-IT"/>
        </w:rPr>
        <w:t>anche quando sono molto simili. Questa capacità sta diventando sempre più utile a causa della crescente domanda globale di cibi pronti surgelati come sacchetti di verdure miste e verdure mescolate con altri alimenti come condimenti per pizza e ingredienti per pasti pronti.</w:t>
      </w:r>
    </w:p>
    <w:p w14:paraId="7A6142D9" w14:textId="2F167846" w:rsidR="00F345FE" w:rsidRPr="00F345FE" w:rsidRDefault="00F345FE" w:rsidP="00F345FE">
      <w:pPr>
        <w:pStyle w:val="western"/>
        <w:spacing w:before="0" w:beforeAutospacing="0" w:after="160" w:line="259" w:lineRule="auto"/>
        <w:rPr>
          <w:bCs/>
          <w:lang w:val="it-IT"/>
        </w:rPr>
      </w:pPr>
      <w:r w:rsidRPr="00F345FE">
        <w:rPr>
          <w:bCs/>
          <w:lang w:val="it-IT"/>
        </w:rPr>
        <w:t>Quest</w:t>
      </w:r>
      <w:r w:rsidR="008C747D">
        <w:rPr>
          <w:bCs/>
          <w:lang w:val="it-IT"/>
        </w:rPr>
        <w:t>a</w:t>
      </w:r>
      <w:r w:rsidRPr="00F345FE">
        <w:rPr>
          <w:bCs/>
          <w:lang w:val="it-IT"/>
        </w:rPr>
        <w:t xml:space="preserve"> capacità avanzat</w:t>
      </w:r>
      <w:r w:rsidR="008C747D">
        <w:rPr>
          <w:bCs/>
          <w:lang w:val="it-IT"/>
        </w:rPr>
        <w:t>a</w:t>
      </w:r>
      <w:r w:rsidRPr="00F345FE">
        <w:rPr>
          <w:bCs/>
          <w:lang w:val="it-IT"/>
        </w:rPr>
        <w:t xml:space="preserve"> di selezione va anche a vantaggio delle linee che lavorano prodotti singoli. Lavorando </w:t>
      </w:r>
      <w:r w:rsidR="008C747D">
        <w:rPr>
          <w:bCs/>
          <w:lang w:val="it-IT"/>
        </w:rPr>
        <w:t>assieme a</w:t>
      </w:r>
      <w:r w:rsidRPr="00F345FE">
        <w:rPr>
          <w:bCs/>
          <w:lang w:val="it-IT"/>
        </w:rPr>
        <w:t xml:space="preserve">i trasformatori, TOMRA Food ha visto la sua tecnologia in azione con grandi risultati. Le bucce di mais, anche se dello stesso colore dei pezzi di mais, possono ora essere rilevate ed espulse. Le erbacce della belladonna, anche se simili per colore e forma ai piselli, possono essere trovate e rimosse. Gli steli e le erbacce di datura possono essere individuati ed espulsi dai fagiolini. E gli steli dei peperoni verdi possono essere eliminati.      </w:t>
      </w:r>
    </w:p>
    <w:p w14:paraId="004E7945" w14:textId="77777777" w:rsidR="00F345FE" w:rsidRPr="00F345FE" w:rsidRDefault="00F345FE" w:rsidP="00F345FE">
      <w:pPr>
        <w:pStyle w:val="western"/>
        <w:spacing w:before="0" w:beforeAutospacing="0" w:after="160" w:line="259" w:lineRule="auto"/>
        <w:rPr>
          <w:bCs/>
          <w:lang w:val="it-IT"/>
        </w:rPr>
      </w:pPr>
      <w:r w:rsidRPr="00F345FE">
        <w:rPr>
          <w:bCs/>
          <w:lang w:val="it-IT"/>
        </w:rPr>
        <w:t>Tutto questo è realizzabile combinando diverse tecnologie. Oltre a un modulo laser per il rilevamento di materiali estranei, lo scanner BSI+ valuta gli oggetti nei flussi di materiale in base alle loro caratteristiche biometriche, confrontandoli con le informazioni memorizzate in un database. Questo significa che l'operatore può creare classificazioni specifiche per il prodotto e gestire il risultato della selezione, indipendentemente dalla configurazione della macchina.</w:t>
      </w:r>
    </w:p>
    <w:p w14:paraId="5D8EF80C" w14:textId="2FECA54B" w:rsidR="00F345FE" w:rsidRPr="00F345FE" w:rsidRDefault="00F345FE" w:rsidP="00F345FE">
      <w:pPr>
        <w:pStyle w:val="western"/>
        <w:spacing w:before="0" w:beforeAutospacing="0" w:after="160" w:line="259" w:lineRule="auto"/>
        <w:rPr>
          <w:bCs/>
          <w:lang w:val="it-IT"/>
        </w:rPr>
      </w:pPr>
      <w:r w:rsidRPr="00F345FE">
        <w:rPr>
          <w:bCs/>
          <w:lang w:val="it-IT"/>
        </w:rPr>
        <w:t xml:space="preserve">Anche se questo sembra complicato, per TOMRA non lo è. </w:t>
      </w:r>
      <w:r w:rsidR="005413C4">
        <w:rPr>
          <w:bCs/>
          <w:lang w:val="it-IT"/>
        </w:rPr>
        <w:t>“</w:t>
      </w:r>
      <w:r w:rsidRPr="005413C4">
        <w:rPr>
          <w:bCs/>
          <w:i/>
          <w:iCs/>
          <w:lang w:val="it-IT"/>
        </w:rPr>
        <w:t xml:space="preserve">Diverse centinaia di piattaforme Nimbus BSI e BSI+ sono attualmente in uso in tutto il mondo (soprattutto nell'industria della frutta secca, che è stata la prima ad </w:t>
      </w:r>
      <w:r w:rsidRPr="00FF5870">
        <w:rPr>
          <w:bCs/>
          <w:i/>
          <w:iCs/>
          <w:lang w:val="it-IT"/>
        </w:rPr>
        <w:t>adottare questa tecnologia), e gli operatori apprezzano all'unanimità la facilità d'uso di queste macchine</w:t>
      </w:r>
      <w:r w:rsidR="005413C4" w:rsidRPr="00FF5870">
        <w:rPr>
          <w:bCs/>
          <w:i/>
          <w:iCs/>
          <w:lang w:val="it-IT"/>
        </w:rPr>
        <w:t>,</w:t>
      </w:r>
      <w:r w:rsidR="005413C4" w:rsidRPr="00FF5870">
        <w:rPr>
          <w:bCs/>
          <w:lang w:val="it-IT"/>
        </w:rPr>
        <w:t>” spiega Gianluca Coloretti, Area Manager di TOMRA Food Italia,</w:t>
      </w:r>
      <w:r w:rsidRPr="00FF5870">
        <w:rPr>
          <w:bCs/>
          <w:lang w:val="it-IT"/>
        </w:rPr>
        <w:t xml:space="preserve"> </w:t>
      </w:r>
      <w:r w:rsidR="005413C4" w:rsidRPr="00FF5870">
        <w:rPr>
          <w:bCs/>
          <w:lang w:val="it-IT"/>
        </w:rPr>
        <w:t>“</w:t>
      </w:r>
      <w:r w:rsidRPr="00FF5870">
        <w:rPr>
          <w:bCs/>
          <w:i/>
          <w:iCs/>
          <w:lang w:val="it-IT"/>
        </w:rPr>
        <w:t>Anche un operatore inesperto può ottenere rapidamente un'alta efficienza produttiva. Questa tecnologia è anche facile da adattare, richiedendo</w:t>
      </w:r>
      <w:r w:rsidRPr="005413C4">
        <w:rPr>
          <w:bCs/>
          <w:i/>
          <w:iCs/>
          <w:lang w:val="it-IT"/>
        </w:rPr>
        <w:t xml:space="preserve"> uno spazio minimo e minime modifiche al layout della linea</w:t>
      </w:r>
      <w:r w:rsidRPr="00F345FE">
        <w:rPr>
          <w:bCs/>
          <w:lang w:val="it-IT"/>
        </w:rPr>
        <w:t>.</w:t>
      </w:r>
      <w:r w:rsidR="005413C4">
        <w:rPr>
          <w:bCs/>
          <w:lang w:val="it-IT"/>
        </w:rPr>
        <w:t>”</w:t>
      </w:r>
    </w:p>
    <w:p w14:paraId="50CED61A" w14:textId="77777777" w:rsidR="00F345FE" w:rsidRPr="00F345FE" w:rsidRDefault="00F345FE" w:rsidP="00F345FE">
      <w:pPr>
        <w:pStyle w:val="western"/>
        <w:spacing w:before="0" w:beforeAutospacing="0" w:after="160" w:line="259" w:lineRule="auto"/>
        <w:rPr>
          <w:bCs/>
          <w:lang w:val="it-IT"/>
        </w:rPr>
      </w:pPr>
    </w:p>
    <w:p w14:paraId="29F88155" w14:textId="6FE8EDFE" w:rsidR="00F345FE" w:rsidRPr="005413C4" w:rsidRDefault="00F345FE" w:rsidP="00F345FE">
      <w:pPr>
        <w:pStyle w:val="western"/>
        <w:spacing w:before="0" w:beforeAutospacing="0" w:after="160" w:line="259" w:lineRule="auto"/>
        <w:rPr>
          <w:b/>
          <w:lang w:val="it-IT"/>
        </w:rPr>
      </w:pPr>
      <w:r w:rsidRPr="005413C4">
        <w:rPr>
          <w:b/>
          <w:lang w:val="it-IT"/>
        </w:rPr>
        <w:lastRenderedPageBreak/>
        <w:t xml:space="preserve">Falso scarto notevolmente ridotto e </w:t>
      </w:r>
      <w:r w:rsidR="005413C4" w:rsidRPr="005413C4">
        <w:rPr>
          <w:b/>
          <w:lang w:val="it-IT"/>
        </w:rPr>
        <w:t>prodotto finale di qualità superiore</w:t>
      </w:r>
      <w:r w:rsidR="005413C4">
        <w:rPr>
          <w:b/>
          <w:lang w:val="it-IT"/>
        </w:rPr>
        <w:t xml:space="preserve"> e costante</w:t>
      </w:r>
    </w:p>
    <w:p w14:paraId="3D866435" w14:textId="7E7C7967" w:rsidR="00F345FE" w:rsidRPr="00FF5870" w:rsidRDefault="00F345FE" w:rsidP="00F345FE">
      <w:pPr>
        <w:pStyle w:val="western"/>
        <w:spacing w:before="0" w:beforeAutospacing="0" w:after="160" w:line="259" w:lineRule="auto"/>
        <w:rPr>
          <w:bCs/>
          <w:lang w:val="it-IT"/>
        </w:rPr>
      </w:pPr>
      <w:r w:rsidRPr="00F345FE">
        <w:rPr>
          <w:bCs/>
          <w:lang w:val="it-IT"/>
        </w:rPr>
        <w:t xml:space="preserve">Ci sono altri due grandi vantaggi. Uno è che le percentuali di falso scarto sono solo un quinto di quelle generalmente riscontrate con altre piattaforme di selezione. Questo si aggiunge nel tempo a una preziosa riduzione degli </w:t>
      </w:r>
      <w:r w:rsidRPr="00FF5870">
        <w:rPr>
          <w:bCs/>
          <w:lang w:val="it-IT"/>
        </w:rPr>
        <w:t xml:space="preserve">sprechi alimentari. L'altro è che la Nimbus BSI+ è molto più stabile delle selezionatrici convenzionali grazie al suo maggiore contrasto. Questo </w:t>
      </w:r>
      <w:r w:rsidR="001A1A46" w:rsidRPr="00FF5870">
        <w:rPr>
          <w:bCs/>
          <w:lang w:val="it-IT"/>
        </w:rPr>
        <w:t>aiuta a compensare</w:t>
      </w:r>
      <w:r w:rsidRPr="00FF5870">
        <w:rPr>
          <w:bCs/>
          <w:lang w:val="it-IT"/>
        </w:rPr>
        <w:t xml:space="preserve"> le </w:t>
      </w:r>
      <w:r w:rsidR="001A1A46" w:rsidRPr="00FF5870">
        <w:rPr>
          <w:bCs/>
          <w:lang w:val="it-IT"/>
        </w:rPr>
        <w:t>variazione</w:t>
      </w:r>
      <w:r w:rsidRPr="00FF5870">
        <w:rPr>
          <w:bCs/>
          <w:lang w:val="it-IT"/>
        </w:rPr>
        <w:t xml:space="preserve"> tra lotti</w:t>
      </w:r>
      <w:r w:rsidR="001A1A46" w:rsidRPr="00FF5870">
        <w:rPr>
          <w:bCs/>
          <w:lang w:val="it-IT"/>
        </w:rPr>
        <w:t xml:space="preserve"> differenti</w:t>
      </w:r>
      <w:r w:rsidRPr="00FF5870">
        <w:rPr>
          <w:bCs/>
          <w:lang w:val="it-IT"/>
        </w:rPr>
        <w:t xml:space="preserve">. Le linee che prima dovevano calibrare le loro macchine selezionatrici almeno una volta al giorno, ora devono farlo solo una volta alla settimana. E si guadagnano </w:t>
      </w:r>
      <w:r w:rsidR="008C747D" w:rsidRPr="00FF5870">
        <w:rPr>
          <w:bCs/>
          <w:lang w:val="it-IT"/>
        </w:rPr>
        <w:t xml:space="preserve">così </w:t>
      </w:r>
      <w:r w:rsidRPr="00FF5870">
        <w:rPr>
          <w:bCs/>
          <w:lang w:val="it-IT"/>
        </w:rPr>
        <w:t>tempi di attività più produttivi perché l'operatore non deve più modificare continuamente il programma della selezionatrice</w:t>
      </w:r>
      <w:r w:rsidR="008C747D" w:rsidRPr="00FF5870">
        <w:rPr>
          <w:bCs/>
          <w:lang w:val="it-IT"/>
        </w:rPr>
        <w:t>,</w:t>
      </w:r>
      <w:r w:rsidRPr="00FF5870">
        <w:rPr>
          <w:bCs/>
          <w:lang w:val="it-IT"/>
        </w:rPr>
        <w:t xml:space="preserve"> quando il prodotto cambia all'interno dello stesso lotto o da un lotto all'altro. </w:t>
      </w:r>
    </w:p>
    <w:p w14:paraId="2A99AA89" w14:textId="680A3CF1" w:rsidR="00F345FE" w:rsidRPr="00FF5870" w:rsidRDefault="005413C4" w:rsidP="005413C4">
      <w:pPr>
        <w:pStyle w:val="western"/>
        <w:spacing w:before="0" w:beforeAutospacing="0" w:after="160" w:line="259" w:lineRule="auto"/>
        <w:rPr>
          <w:i/>
          <w:iCs/>
          <w:lang w:val="it-IT"/>
        </w:rPr>
      </w:pPr>
      <w:r w:rsidRPr="00FF5870">
        <w:rPr>
          <w:bCs/>
          <w:lang w:val="it-IT"/>
        </w:rPr>
        <w:t>Conclude Coloretti: “</w:t>
      </w:r>
      <w:r w:rsidR="00F345FE" w:rsidRPr="00FF5870">
        <w:rPr>
          <w:bCs/>
          <w:i/>
          <w:iCs/>
          <w:lang w:val="it-IT"/>
        </w:rPr>
        <w:t xml:space="preserve">Questi vantaggi operativi si aggiungono alla tranquillità che deriva dal sapere che il prodotto finale sarà sempre di alta qualità. Infatti, i risultati finali sono così buoni che alcune aziende </w:t>
      </w:r>
      <w:r w:rsidR="008C747D" w:rsidRPr="00FF5870">
        <w:rPr>
          <w:bCs/>
          <w:i/>
          <w:iCs/>
          <w:lang w:val="it-IT"/>
        </w:rPr>
        <w:t xml:space="preserve">si </w:t>
      </w:r>
      <w:r w:rsidR="00F345FE" w:rsidRPr="00FF5870">
        <w:rPr>
          <w:bCs/>
          <w:i/>
          <w:iCs/>
          <w:lang w:val="it-IT"/>
        </w:rPr>
        <w:t xml:space="preserve">stanno aggiudicando nuovi contratti perché possono dire ai loro clienti </w:t>
      </w:r>
      <w:r w:rsidR="008C747D" w:rsidRPr="00FF5870">
        <w:rPr>
          <w:bCs/>
          <w:i/>
          <w:iCs/>
          <w:lang w:val="it-IT"/>
        </w:rPr>
        <w:t>di avere</w:t>
      </w:r>
      <w:r w:rsidR="00F345FE" w:rsidRPr="00FF5870">
        <w:rPr>
          <w:bCs/>
          <w:i/>
          <w:iCs/>
          <w:lang w:val="it-IT"/>
        </w:rPr>
        <w:t xml:space="preserve"> BSI+.</w:t>
      </w:r>
      <w:r w:rsidRPr="00FF5870">
        <w:rPr>
          <w:bCs/>
          <w:i/>
          <w:iCs/>
          <w:lang w:val="it-IT"/>
        </w:rPr>
        <w:t>”</w:t>
      </w:r>
      <w:r w:rsidR="00F345FE" w:rsidRPr="00FF5870">
        <w:rPr>
          <w:bCs/>
          <w:i/>
          <w:iCs/>
          <w:lang w:val="it-IT"/>
        </w:rPr>
        <w:t xml:space="preserve"> </w:t>
      </w:r>
    </w:p>
    <w:p w14:paraId="03C7B43C" w14:textId="77777777" w:rsidR="00EC5A74" w:rsidRPr="00125CE4" w:rsidRDefault="00EC5A74" w:rsidP="00EC5A74">
      <w:pPr>
        <w:spacing w:after="160" w:line="259" w:lineRule="auto"/>
        <w:rPr>
          <w:rFonts w:asciiTheme="minorHAnsi" w:hAnsiTheme="minorHAnsi" w:cstheme="minorHAnsi"/>
          <w:b/>
          <w:lang w:val="it-IT"/>
        </w:rPr>
      </w:pPr>
      <w:r w:rsidRPr="00FF5870">
        <w:rPr>
          <w:rFonts w:asciiTheme="minorHAnsi" w:hAnsiTheme="minorHAnsi" w:cstheme="minorHAnsi"/>
          <w:b/>
          <w:lang w:val="it-IT"/>
        </w:rPr>
        <w:t>Informazioni su TOMRA Food</w:t>
      </w:r>
      <w:r w:rsidRPr="00125CE4">
        <w:rPr>
          <w:rFonts w:asciiTheme="minorHAnsi" w:hAnsiTheme="minorHAnsi" w:cstheme="minorHAnsi"/>
          <w:b/>
          <w:lang w:val="it-IT"/>
        </w:rPr>
        <w:t xml:space="preserve"> </w:t>
      </w:r>
    </w:p>
    <w:p w14:paraId="1A7F08DF" w14:textId="77777777" w:rsidR="001B536E"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TOMRA Food progetta e produce macchine selezionatrici a sensori e soluzioni integrate post-raccolta per l'industria alimentare, utilizzando le più avanzate tecnologie di classificazione, selezione, pelatura e analisi. </w:t>
      </w:r>
    </w:p>
    <w:p w14:paraId="13AAE20B" w14:textId="454C4850" w:rsidR="00540F52"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Sono oltre </w:t>
      </w:r>
      <w:r w:rsidR="00540F52">
        <w:rPr>
          <w:rFonts w:asciiTheme="minorHAnsi" w:hAnsiTheme="minorHAnsi" w:cstheme="minorHAnsi"/>
          <w:lang w:val="it-IT"/>
        </w:rPr>
        <w:t>12</w:t>
      </w:r>
      <w:r w:rsidRPr="00125CE4">
        <w:rPr>
          <w:rFonts w:asciiTheme="minorHAnsi" w:hAnsiTheme="minorHAnsi" w:cstheme="minorHAnsi"/>
          <w:lang w:val="it-IT"/>
        </w:rPr>
        <w:t>.</w:t>
      </w:r>
      <w:r w:rsidR="00540F52">
        <w:rPr>
          <w:rFonts w:asciiTheme="minorHAnsi" w:hAnsiTheme="minorHAnsi" w:cstheme="minorHAnsi"/>
          <w:lang w:val="it-IT"/>
        </w:rPr>
        <w:t>8</w:t>
      </w:r>
      <w:r w:rsidRPr="00125CE4">
        <w:rPr>
          <w:rFonts w:asciiTheme="minorHAnsi" w:hAnsiTheme="minorHAnsi" w:cstheme="minorHAnsi"/>
          <w:lang w:val="it-IT"/>
        </w:rPr>
        <w:t xml:space="preserve">00 le macchine installate in tutto il mondo presso produttori, confezionatori e trasformatori di frutta, frutta secca, frutta disidratata, verdure, prodotti a base di patate, </w:t>
      </w:r>
      <w:r w:rsidR="00540F52">
        <w:rPr>
          <w:rFonts w:asciiTheme="minorHAnsi" w:hAnsiTheme="minorHAnsi" w:cstheme="minorHAnsi"/>
          <w:lang w:val="it-IT"/>
        </w:rPr>
        <w:t xml:space="preserve">proteine, </w:t>
      </w:r>
      <w:r w:rsidRPr="00125CE4">
        <w:rPr>
          <w:rFonts w:asciiTheme="minorHAnsi" w:hAnsiTheme="minorHAnsi" w:cstheme="minorHAnsi"/>
          <w:lang w:val="it-IT"/>
        </w:rPr>
        <w:t>cereali</w:t>
      </w:r>
      <w:r w:rsidR="00540F52">
        <w:rPr>
          <w:rFonts w:asciiTheme="minorHAnsi" w:hAnsiTheme="minorHAnsi" w:cstheme="minorHAnsi"/>
          <w:lang w:val="it-IT"/>
        </w:rPr>
        <w:t xml:space="preserve"> e </w:t>
      </w:r>
      <w:r w:rsidRPr="00125CE4">
        <w:rPr>
          <w:rFonts w:asciiTheme="minorHAnsi" w:hAnsiTheme="minorHAnsi" w:cstheme="minorHAnsi"/>
          <w:lang w:val="it-IT"/>
        </w:rPr>
        <w:t xml:space="preserve">semi. </w:t>
      </w:r>
    </w:p>
    <w:p w14:paraId="1F5A1FC4" w14:textId="1FBF9459"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La </w:t>
      </w:r>
      <w:proofErr w:type="spellStart"/>
      <w:r w:rsidRPr="00125CE4">
        <w:rPr>
          <w:rFonts w:asciiTheme="minorHAnsi" w:hAnsiTheme="minorHAnsi" w:cstheme="minorHAnsi"/>
          <w:lang w:val="it-IT"/>
        </w:rPr>
        <w:t>mission</w:t>
      </w:r>
      <w:proofErr w:type="spellEnd"/>
      <w:r w:rsidRPr="00125CE4">
        <w:rPr>
          <w:rFonts w:asciiTheme="minorHAnsi" w:hAnsiTheme="minorHAnsi" w:cstheme="minorHAnsi"/>
          <w:lang w:val="it-IT"/>
        </w:rPr>
        <w:t xml:space="preserve"> dell'azienda è quella di consentire ai clienti di migliorare le rese, aumentare l’efficienza operativa e garantire un approvvigionamento alimentare sicuro attraverso tecnologie intelligenti e utilizzabili. A tal fine, TOMRA Food dispone di centri di eccellenza, uffici regionali e siti produttivi negli Stati Uniti, in Europa, Sud America, Asia, Africa e Oceania.</w:t>
      </w:r>
    </w:p>
    <w:p w14:paraId="5F815DFF" w14:textId="77777777"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TOMRA Food è membro del Gruppo TOMRA, fondato sull’innovazione e nato nel 1972 con la progettazione, la produzione e la vendita di macchine </w:t>
      </w:r>
      <w:r w:rsidRPr="00125CE4">
        <w:rPr>
          <w:rFonts w:asciiTheme="minorHAnsi" w:hAnsiTheme="minorHAnsi" w:cstheme="minorHAnsi"/>
          <w:i/>
          <w:lang w:val="it-IT"/>
        </w:rPr>
        <w:t xml:space="preserve">reverse vending </w:t>
      </w:r>
      <w:r w:rsidRPr="00125CE4">
        <w:rPr>
          <w:rFonts w:asciiTheme="minorHAnsi" w:hAnsiTheme="minorHAnsi" w:cstheme="minorHAnsi"/>
          <w:lang w:val="it-IT"/>
        </w:rPr>
        <w:t xml:space="preserve">(RVM) per la raccolta automatizzata di contenitori per bevande allo scopo di riciclo o riutilizzo. Oggi TOMRA fornisce soluzioni tecnologiche che consentono un'economia circolare con sistemi avanzati di selezione che ottimizzano il recupero delle risorse e riducono al minimo i rifiuti nell'industria alimentare, del riciclo e mineraria. </w:t>
      </w:r>
    </w:p>
    <w:p w14:paraId="71FC325A" w14:textId="16840464"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TOMRA ha circa 100.000 sistemi installati in oltre 80 mercati in tutto il mondo e nel 20</w:t>
      </w:r>
      <w:r w:rsidR="00540F52">
        <w:rPr>
          <w:rFonts w:asciiTheme="minorHAnsi" w:hAnsiTheme="minorHAnsi" w:cstheme="minorHAnsi"/>
          <w:lang w:val="it-IT"/>
        </w:rPr>
        <w:t xml:space="preserve">20 </w:t>
      </w:r>
      <w:r w:rsidRPr="00125CE4">
        <w:rPr>
          <w:rFonts w:asciiTheme="minorHAnsi" w:hAnsiTheme="minorHAnsi" w:cstheme="minorHAnsi"/>
          <w:lang w:val="it-IT"/>
        </w:rPr>
        <w:t xml:space="preserve">ha registrato un fatturato totale di circa </w:t>
      </w:r>
      <w:r w:rsidR="00540F52">
        <w:rPr>
          <w:rFonts w:asciiTheme="minorHAnsi" w:hAnsiTheme="minorHAnsi" w:cstheme="minorHAnsi"/>
          <w:lang w:val="it-IT"/>
        </w:rPr>
        <w:t xml:space="preserve">9,9 miliardi </w:t>
      </w:r>
      <w:r w:rsidRPr="00125CE4">
        <w:rPr>
          <w:rFonts w:asciiTheme="minorHAnsi" w:hAnsiTheme="minorHAnsi" w:cstheme="minorHAnsi"/>
          <w:lang w:val="it-IT"/>
        </w:rPr>
        <w:t xml:space="preserve">di </w:t>
      </w:r>
      <w:r w:rsidR="00540F52">
        <w:rPr>
          <w:rFonts w:asciiTheme="minorHAnsi" w:hAnsiTheme="minorHAnsi" w:cstheme="minorHAnsi"/>
          <w:lang w:val="it-IT"/>
        </w:rPr>
        <w:t>NOK</w:t>
      </w:r>
      <w:r w:rsidR="003B69F1">
        <w:rPr>
          <w:rFonts w:asciiTheme="minorHAnsi" w:hAnsiTheme="minorHAnsi" w:cstheme="minorHAnsi"/>
          <w:lang w:val="it-IT"/>
        </w:rPr>
        <w:t xml:space="preserve">. </w:t>
      </w:r>
      <w:r w:rsidRPr="00125CE4">
        <w:rPr>
          <w:rFonts w:asciiTheme="minorHAnsi" w:hAnsiTheme="minorHAnsi" w:cstheme="minorHAnsi"/>
          <w:lang w:val="it-IT"/>
        </w:rPr>
        <w:t>Il Gruppo impiega ~4.</w:t>
      </w:r>
      <w:r w:rsidR="00540F52">
        <w:rPr>
          <w:rFonts w:asciiTheme="minorHAnsi" w:hAnsiTheme="minorHAnsi" w:cstheme="minorHAnsi"/>
          <w:lang w:val="it-IT"/>
        </w:rPr>
        <w:t>3</w:t>
      </w:r>
      <w:r w:rsidRPr="00125CE4">
        <w:rPr>
          <w:rFonts w:asciiTheme="minorHAnsi" w:hAnsiTheme="minorHAnsi" w:cstheme="minorHAnsi"/>
          <w:lang w:val="it-IT"/>
        </w:rPr>
        <w:t xml:space="preserve">00 dipendenti a livello globale ed è quotata alla Borsa di Oslo (OSE: TOM). Ulteriori informazioni su </w:t>
      </w:r>
      <w:hyperlink r:id="rId11" w:history="1">
        <w:r w:rsidRPr="00125CE4">
          <w:rPr>
            <w:rStyle w:val="Collegamentoipertestuale"/>
            <w:rFonts w:asciiTheme="minorHAnsi" w:hAnsiTheme="minorHAnsi" w:cstheme="minorHAnsi"/>
            <w:lang w:val="it-IT"/>
          </w:rPr>
          <w:t>www.tomra.com</w:t>
        </w:r>
      </w:hyperlink>
    </w:p>
    <w:p w14:paraId="73249E81" w14:textId="77777777" w:rsidR="00EC5A74" w:rsidRPr="00125CE4" w:rsidRDefault="00EC5A74" w:rsidP="00EC5A74">
      <w:pPr>
        <w:rPr>
          <w:rFonts w:asciiTheme="minorHAnsi" w:hAnsiTheme="minorHAnsi" w:cstheme="minorHAnsi"/>
          <w:b/>
          <w:lang w:val="pt-BR"/>
        </w:rPr>
      </w:pPr>
      <w:r w:rsidRPr="00125CE4">
        <w:rPr>
          <w:rFonts w:asciiTheme="minorHAnsi" w:hAnsiTheme="minorHAnsi" w:cstheme="minorHAnsi"/>
          <w:b/>
          <w:lang w:val="pt-BR"/>
        </w:rPr>
        <w:t>Contatti media:</w:t>
      </w:r>
    </w:p>
    <w:p w14:paraId="5EE1B153" w14:textId="77777777" w:rsidR="00EC5A74" w:rsidRPr="00125CE4" w:rsidRDefault="00EC5A74" w:rsidP="00EC5A74">
      <w:pPr>
        <w:rPr>
          <w:rFonts w:asciiTheme="minorHAnsi" w:hAnsiTheme="minorHAnsi" w:cstheme="minorHAnsi"/>
          <w:i/>
          <w:iCs/>
          <w:sz w:val="2"/>
          <w:szCs w:val="2"/>
        </w:rPr>
      </w:pPr>
      <w:r w:rsidRPr="00125CE4">
        <w:rPr>
          <w:rFonts w:asciiTheme="minorHAnsi" w:hAnsiTheme="minorHAnsi" w:cstheme="minorHAnsi"/>
          <w:i/>
          <w:iCs/>
          <w:sz w:val="2"/>
          <w:szCs w:val="2"/>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7"/>
      </w:tblGrid>
      <w:tr w:rsidR="00EC5A74" w:rsidRPr="00125CE4" w14:paraId="60A67B12" w14:textId="77777777" w:rsidTr="00AF0C01">
        <w:tc>
          <w:tcPr>
            <w:tcW w:w="4675" w:type="dxa"/>
            <w:hideMark/>
          </w:tcPr>
          <w:p w14:paraId="135C9DBD" w14:textId="77777777" w:rsidR="00EC5A74" w:rsidRPr="00B02F11" w:rsidRDefault="00EC5A74" w:rsidP="00AF0C01">
            <w:pPr>
              <w:rPr>
                <w:rFonts w:asciiTheme="minorHAnsi" w:hAnsiTheme="minorHAnsi" w:cstheme="minorHAnsi"/>
                <w:i/>
                <w:iCs/>
                <w:lang w:val="fr-FR"/>
              </w:rPr>
            </w:pPr>
            <w:r w:rsidRPr="00B02F11">
              <w:rPr>
                <w:rFonts w:asciiTheme="minorHAnsi" w:hAnsiTheme="minorHAnsi" w:cstheme="minorHAnsi"/>
                <w:i/>
                <w:iCs/>
                <w:lang w:val="fr-FR"/>
              </w:rPr>
              <w:t>Susanna Laino, Alarcon &amp; Harris PR</w:t>
            </w:r>
          </w:p>
          <w:p w14:paraId="631C144E" w14:textId="77777777" w:rsidR="00EC5A74" w:rsidRPr="00125CE4" w:rsidRDefault="00EC5A74" w:rsidP="00AF0C01">
            <w:pPr>
              <w:rPr>
                <w:rFonts w:asciiTheme="minorHAnsi" w:hAnsiTheme="minorHAnsi" w:cstheme="minorHAnsi"/>
                <w:i/>
                <w:iCs/>
                <w:lang w:val="es-ES"/>
              </w:rPr>
            </w:pPr>
            <w:proofErr w:type="spellStart"/>
            <w:r w:rsidRPr="00125CE4">
              <w:rPr>
                <w:rFonts w:asciiTheme="minorHAnsi" w:hAnsiTheme="minorHAnsi" w:cstheme="minorHAnsi"/>
                <w:i/>
                <w:iCs/>
                <w:lang w:val="es-ES"/>
              </w:rPr>
              <w:t>Via</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Polidoro</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Virgili</w:t>
            </w:r>
            <w:proofErr w:type="spellEnd"/>
            <w:r w:rsidRPr="00125CE4">
              <w:rPr>
                <w:rFonts w:asciiTheme="minorHAnsi" w:hAnsiTheme="minorHAnsi" w:cstheme="minorHAnsi"/>
                <w:i/>
                <w:iCs/>
                <w:lang w:val="es-ES"/>
              </w:rPr>
              <w:t>, 7</w:t>
            </w:r>
          </w:p>
          <w:p w14:paraId="4743DA77"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61033 </w:t>
            </w:r>
            <w:proofErr w:type="spellStart"/>
            <w:r w:rsidRPr="00125CE4">
              <w:rPr>
                <w:rFonts w:asciiTheme="minorHAnsi" w:hAnsiTheme="minorHAnsi" w:cstheme="minorHAnsi"/>
                <w:i/>
                <w:iCs/>
                <w:lang w:val="es-ES"/>
              </w:rPr>
              <w:t>Fermignano</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Pesaro,Urbino</w:t>
            </w:r>
            <w:proofErr w:type="spellEnd"/>
          </w:p>
          <w:p w14:paraId="1120D0D0" w14:textId="77777777" w:rsidR="00EC5A74" w:rsidRPr="00125CE4" w:rsidRDefault="00EC5A74" w:rsidP="00AF0C01">
            <w:pPr>
              <w:rPr>
                <w:rFonts w:asciiTheme="minorHAnsi" w:hAnsiTheme="minorHAnsi" w:cstheme="minorHAnsi"/>
                <w:i/>
                <w:iCs/>
                <w:lang w:val="fr-FR"/>
              </w:rPr>
            </w:pPr>
            <w:proofErr w:type="gramStart"/>
            <w:r w:rsidRPr="00125CE4">
              <w:rPr>
                <w:rFonts w:asciiTheme="minorHAnsi" w:hAnsiTheme="minorHAnsi" w:cstheme="minorHAnsi"/>
                <w:i/>
                <w:iCs/>
                <w:lang w:val="fr-FR"/>
              </w:rPr>
              <w:t>T:</w:t>
            </w:r>
            <w:proofErr w:type="gramEnd"/>
            <w:r w:rsidRPr="00125CE4">
              <w:rPr>
                <w:rFonts w:asciiTheme="minorHAnsi" w:hAnsiTheme="minorHAnsi" w:cstheme="minorHAnsi"/>
                <w:i/>
                <w:iCs/>
                <w:lang w:val="fr-FR"/>
              </w:rPr>
              <w:t xml:space="preserve"> : 0722 33 1928; M:  389 474 6376 </w:t>
            </w:r>
          </w:p>
          <w:p w14:paraId="32F77D47"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E: </w:t>
            </w:r>
            <w:hyperlink r:id="rId12" w:history="1">
              <w:r w:rsidRPr="00125CE4">
                <w:rPr>
                  <w:rStyle w:val="Collegamentoipertestuale"/>
                  <w:rFonts w:asciiTheme="minorHAnsi" w:hAnsiTheme="minorHAnsi" w:cstheme="minorHAnsi"/>
                  <w:i/>
                  <w:iCs/>
                  <w:lang w:val="es-ES"/>
                </w:rPr>
                <w:t>susanna.laino@alarconyharris.com</w:t>
              </w:r>
            </w:hyperlink>
          </w:p>
          <w:p w14:paraId="5B8DCBBB"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W: </w:t>
            </w:r>
            <w:hyperlink r:id="rId13" w:history="1">
              <w:r w:rsidRPr="00125CE4">
                <w:rPr>
                  <w:rStyle w:val="Collegamentoipertestuale"/>
                  <w:rFonts w:asciiTheme="minorHAnsi" w:hAnsiTheme="minorHAnsi" w:cstheme="minorHAnsi"/>
                  <w:i/>
                  <w:iCs/>
                  <w:lang w:val="es-ES"/>
                </w:rPr>
                <w:t>www.alarconyharris.com</w:t>
              </w:r>
            </w:hyperlink>
          </w:p>
        </w:tc>
        <w:tc>
          <w:tcPr>
            <w:tcW w:w="4675" w:type="dxa"/>
            <w:hideMark/>
          </w:tcPr>
          <w:p w14:paraId="69CDB4F3"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Marijke Bellemans</w:t>
            </w:r>
          </w:p>
          <w:p w14:paraId="13A3BD53"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Marketing Communication Manager TOMRA Food, Compac, and BBC Technologies</w:t>
            </w:r>
          </w:p>
          <w:p w14:paraId="0BA2D3F9" w14:textId="77777777" w:rsidR="00EC5A74" w:rsidRPr="00125CE4" w:rsidRDefault="00EC5A74" w:rsidP="00AF0C01">
            <w:pPr>
              <w:rPr>
                <w:rFonts w:asciiTheme="minorHAnsi" w:hAnsiTheme="minorHAnsi" w:cstheme="minorHAnsi"/>
                <w:i/>
                <w:iCs/>
                <w:lang w:val="nl-BE"/>
              </w:rPr>
            </w:pPr>
            <w:r w:rsidRPr="00125CE4">
              <w:rPr>
                <w:rFonts w:asciiTheme="minorHAnsi" w:hAnsiTheme="minorHAnsi" w:cstheme="minorHAnsi"/>
                <w:i/>
                <w:iCs/>
                <w:lang w:val="nl-BE"/>
              </w:rPr>
              <w:t xml:space="preserve">Research Park Haasrode 1622 – Romeinse straat 20 </w:t>
            </w:r>
          </w:p>
          <w:p w14:paraId="00AAC17E"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 xml:space="preserve">3001 Leuven, </w:t>
            </w:r>
            <w:proofErr w:type="spellStart"/>
            <w:r w:rsidRPr="00125CE4">
              <w:rPr>
                <w:rFonts w:asciiTheme="minorHAnsi" w:hAnsiTheme="minorHAnsi" w:cstheme="minorHAnsi"/>
                <w:i/>
                <w:iCs/>
                <w:lang w:val="fr-FR"/>
              </w:rPr>
              <w:t>Belgium</w:t>
            </w:r>
            <w:proofErr w:type="spellEnd"/>
          </w:p>
          <w:p w14:paraId="31CD9D92"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T: +32 (0)16 74 28 17 M: +32 (0)476 74 19 18</w:t>
            </w:r>
          </w:p>
          <w:p w14:paraId="3822B69E"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E:</w:t>
            </w:r>
            <w:r w:rsidRPr="00125CE4">
              <w:rPr>
                <w:rStyle w:val="apple-converted-space"/>
                <w:rFonts w:asciiTheme="minorHAnsi" w:hAnsiTheme="minorHAnsi" w:cstheme="minorHAnsi"/>
                <w:i/>
                <w:iCs/>
                <w:lang w:val="fr-FR"/>
              </w:rPr>
              <w:t> </w:t>
            </w:r>
            <w:hyperlink r:id="rId14" w:history="1">
              <w:r w:rsidRPr="00125CE4">
                <w:rPr>
                  <w:rStyle w:val="Collegamentoipertestuale"/>
                  <w:rFonts w:asciiTheme="minorHAnsi" w:hAnsiTheme="minorHAnsi" w:cstheme="minorHAnsi"/>
                  <w:i/>
                  <w:iCs/>
                  <w:color w:val="954F72"/>
                  <w:lang w:val="fr-FR"/>
                </w:rPr>
                <w:t>marijke.bellemans@tomra.com</w:t>
              </w:r>
            </w:hyperlink>
            <w:r w:rsidRPr="00125CE4">
              <w:rPr>
                <w:rStyle w:val="apple-converted-space"/>
                <w:rFonts w:asciiTheme="minorHAnsi" w:hAnsiTheme="minorHAnsi" w:cstheme="minorHAnsi"/>
                <w:i/>
                <w:iCs/>
                <w:lang w:val="fr-FR"/>
              </w:rPr>
              <w:t> </w:t>
            </w:r>
          </w:p>
          <w:p w14:paraId="26C4A2CE"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 xml:space="preserve">W: </w:t>
            </w:r>
            <w:hyperlink r:id="rId15" w:history="1">
              <w:r w:rsidRPr="00125CE4">
                <w:rPr>
                  <w:rStyle w:val="Collegamentoipertestuale"/>
                  <w:rFonts w:asciiTheme="minorHAnsi" w:hAnsiTheme="minorHAnsi" w:cstheme="minorHAnsi"/>
                  <w:i/>
                </w:rPr>
                <w:t>www.tomra.com/food</w:t>
              </w:r>
            </w:hyperlink>
          </w:p>
        </w:tc>
      </w:tr>
    </w:tbl>
    <w:p w14:paraId="6877FC7B" w14:textId="77777777" w:rsidR="00BD522D" w:rsidRPr="00B40970" w:rsidRDefault="00BD522D" w:rsidP="001B536E">
      <w:pPr>
        <w:rPr>
          <w:rFonts w:asciiTheme="minorHAnsi" w:hAnsiTheme="minorHAnsi" w:cstheme="minorHAnsi"/>
        </w:rPr>
      </w:pPr>
    </w:p>
    <w:sectPr w:rsidR="00BD522D" w:rsidRPr="00B40970" w:rsidSect="0040029D">
      <w:headerReference w:type="default" r:id="rId1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BF6C" w14:textId="77777777" w:rsidR="001F28A8" w:rsidRDefault="001F28A8" w:rsidP="00507D9C">
      <w:r>
        <w:separator/>
      </w:r>
    </w:p>
  </w:endnote>
  <w:endnote w:type="continuationSeparator" w:id="0">
    <w:p w14:paraId="02921E9E" w14:textId="77777777" w:rsidR="001F28A8" w:rsidRDefault="001F28A8"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w:altName w:val="﷽﷽﷽﷽﷽﷽﷽﷽s"/>
    <w:panose1 w:val="020B0502020104020203"/>
    <w:charset w:val="B1"/>
    <w:family w:val="swiss"/>
    <w:pitch w:val="variable"/>
    <w:sig w:usb0="80000A67" w:usb1="00000000" w:usb2="00000000" w:usb3="00000000" w:csb0="000001F7"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5ECF" w14:textId="77777777" w:rsidR="001F28A8" w:rsidRDefault="001F28A8" w:rsidP="00507D9C">
      <w:r>
        <w:separator/>
      </w:r>
    </w:p>
  </w:footnote>
  <w:footnote w:type="continuationSeparator" w:id="0">
    <w:p w14:paraId="1E845A7A" w14:textId="77777777" w:rsidR="001F28A8" w:rsidRDefault="001F28A8"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641A" w14:textId="3C852F0E" w:rsidR="00C077E8" w:rsidRPr="00FD0C47" w:rsidRDefault="00F5530E" w:rsidP="006F4443">
    <w:pPr>
      <w:pStyle w:val="Sottotitolo"/>
    </w:pPr>
    <w:r w:rsidRPr="00F5530E">
      <w:rPr>
        <w:noProof/>
        <w:color w:val="7F7F7F" w:themeColor="text1" w:themeTint="80"/>
        <w:lang w:val="it-IT" w:eastAsia="it-IT"/>
      </w:rPr>
      <mc:AlternateContent>
        <mc:Choice Requires="wps">
          <w:drawing>
            <wp:anchor distT="45720" distB="45720" distL="114300" distR="114300" simplePos="0" relativeHeight="251660288" behindDoc="0" locked="0" layoutInCell="1" allowOverlap="1" wp14:anchorId="1FC96F0A" wp14:editId="547F52EE">
              <wp:simplePos x="0" y="0"/>
              <wp:positionH relativeFrom="column">
                <wp:posOffset>4688916</wp:posOffset>
              </wp:positionH>
              <wp:positionV relativeFrom="paragraph">
                <wp:posOffset>-11126</wp:posOffset>
              </wp:positionV>
              <wp:extent cx="106743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72745"/>
                      </a:xfrm>
                      <a:prstGeom prst="rect">
                        <a:avLst/>
                      </a:prstGeom>
                      <a:solidFill>
                        <a:srgbClr val="FFFFFF"/>
                      </a:solidFill>
                      <a:ln w="9525">
                        <a:noFill/>
                        <a:miter lim="800000"/>
                        <a:headEnd/>
                        <a:tailEnd/>
                      </a:ln>
                    </wps:spPr>
                    <wps:txbx>
                      <w:txbxContent>
                        <w:p w14:paraId="7A0A1930" w14:textId="2A5A3539" w:rsidR="00F5530E" w:rsidRDefault="00F5530E" w:rsidP="006F4443">
                          <w:pPr>
                            <w:pStyle w:val="Sottotitolo"/>
                          </w:pPr>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96F0A" id="_x0000_t202" coordsize="21600,21600" o:spt="202" path="m,l,21600r21600,l21600,xe">
              <v:stroke joinstyle="miter"/>
              <v:path gradientshapeok="t" o:connecttype="rect"/>
            </v:shapetype>
            <v:shape id="Text Box 2" o:spid="_x0000_s1026" type="#_x0000_t202" style="position:absolute;margin-left:369.2pt;margin-top:-.9pt;width:84.05pt;height:2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" stroked="f">
              <v:textbox style="mso-fit-shape-to-text:t">
                <w:txbxContent>
                  <w:p w14:paraId="7A0A1930" w14:textId="2A5A3539" w:rsidR="00F5530E" w:rsidRDefault="00F5530E" w:rsidP="006F4443">
                    <w:pPr>
                      <w:pStyle w:val="Sottotitolo"/>
                    </w:pPr>
                    <w:r>
                      <w:t>Press release</w:t>
                    </w:r>
                  </w:p>
                </w:txbxContent>
              </v:textbox>
              <w10:wrap type="square"/>
            </v:shape>
          </w:pict>
        </mc:Fallback>
      </mc:AlternateContent>
    </w:r>
    <w:r w:rsidR="00FD0C47" w:rsidRPr="00FD0C47">
      <w:rPr>
        <w:noProof/>
        <w:color w:val="7F7F7F" w:themeColor="text1" w:themeTint="80"/>
        <w:lang w:val="it-IT" w:eastAsia="it-IT"/>
      </w:rPr>
      <w:drawing>
        <wp:anchor distT="0" distB="0" distL="114300" distR="114300" simplePos="0" relativeHeight="251658240" behindDoc="0" locked="0" layoutInCell="1" allowOverlap="1" wp14:anchorId="1AED38C7" wp14:editId="24ACF4D8">
          <wp:simplePos x="0" y="0"/>
          <wp:positionH relativeFrom="column">
            <wp:posOffset>-188877</wp:posOffset>
          </wp:positionH>
          <wp:positionV relativeFrom="paragraph">
            <wp:posOffset>-183108</wp:posOffset>
          </wp:positionV>
          <wp:extent cx="1876425" cy="652074"/>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RA Food_Compac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52074"/>
                  </a:xfrm>
                  <a:prstGeom prst="rect">
                    <a:avLst/>
                  </a:prstGeom>
                </pic:spPr>
              </pic:pic>
            </a:graphicData>
          </a:graphic>
          <wp14:sizeRelH relativeFrom="margin">
            <wp14:pctWidth>0</wp14:pctWidth>
          </wp14:sizeRelH>
          <wp14:sizeRelV relativeFrom="margin">
            <wp14:pctHeight>0</wp14:pctHeight>
          </wp14:sizeRelV>
        </wp:anchor>
      </w:drawing>
    </w:r>
    <w:r w:rsidR="00FD0C47" w:rsidRPr="00FD0C47">
      <w:rPr>
        <w:color w:val="7F7F7F" w:themeColor="text1" w:themeTint="80"/>
      </w:rPr>
      <w:t xml:space="preserve">        </w:t>
    </w:r>
    <w:r w:rsidR="00FD0C47" w:rsidRPr="00FD0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48"/>
    <w:rsid w:val="00032AD3"/>
    <w:rsid w:val="00077F48"/>
    <w:rsid w:val="000A64BC"/>
    <w:rsid w:val="000A66F4"/>
    <w:rsid w:val="000C7464"/>
    <w:rsid w:val="0010381E"/>
    <w:rsid w:val="00125CE4"/>
    <w:rsid w:val="00144BF4"/>
    <w:rsid w:val="00144F6B"/>
    <w:rsid w:val="00154649"/>
    <w:rsid w:val="00173538"/>
    <w:rsid w:val="00174B82"/>
    <w:rsid w:val="0018153F"/>
    <w:rsid w:val="001A1A46"/>
    <w:rsid w:val="001A5289"/>
    <w:rsid w:val="001B536E"/>
    <w:rsid w:val="001C4E54"/>
    <w:rsid w:val="001F28A8"/>
    <w:rsid w:val="00200841"/>
    <w:rsid w:val="00242460"/>
    <w:rsid w:val="0024613A"/>
    <w:rsid w:val="00247A68"/>
    <w:rsid w:val="002502DF"/>
    <w:rsid w:val="002604EC"/>
    <w:rsid w:val="00274A8C"/>
    <w:rsid w:val="002830C9"/>
    <w:rsid w:val="002F1CBB"/>
    <w:rsid w:val="0030769F"/>
    <w:rsid w:val="00322BC7"/>
    <w:rsid w:val="00326CF8"/>
    <w:rsid w:val="003361F3"/>
    <w:rsid w:val="003364FE"/>
    <w:rsid w:val="00346325"/>
    <w:rsid w:val="00357C1B"/>
    <w:rsid w:val="00364B5F"/>
    <w:rsid w:val="00373033"/>
    <w:rsid w:val="003B00D7"/>
    <w:rsid w:val="003B69F1"/>
    <w:rsid w:val="003C263B"/>
    <w:rsid w:val="003D30C0"/>
    <w:rsid w:val="003E3253"/>
    <w:rsid w:val="003F0DED"/>
    <w:rsid w:val="003F0F54"/>
    <w:rsid w:val="0040029D"/>
    <w:rsid w:val="004013EE"/>
    <w:rsid w:val="00437E22"/>
    <w:rsid w:val="00451C6E"/>
    <w:rsid w:val="00452036"/>
    <w:rsid w:val="00455F4E"/>
    <w:rsid w:val="00474208"/>
    <w:rsid w:val="004847DA"/>
    <w:rsid w:val="004B2664"/>
    <w:rsid w:val="004B3796"/>
    <w:rsid w:val="004C0831"/>
    <w:rsid w:val="004D2A16"/>
    <w:rsid w:val="004E08D4"/>
    <w:rsid w:val="004E34F4"/>
    <w:rsid w:val="0050185F"/>
    <w:rsid w:val="00507D9C"/>
    <w:rsid w:val="00530004"/>
    <w:rsid w:val="005302E1"/>
    <w:rsid w:val="00531A7D"/>
    <w:rsid w:val="00540F52"/>
    <w:rsid w:val="005413C4"/>
    <w:rsid w:val="005418FE"/>
    <w:rsid w:val="00542C99"/>
    <w:rsid w:val="00571BDE"/>
    <w:rsid w:val="00574AC4"/>
    <w:rsid w:val="00575D2A"/>
    <w:rsid w:val="0058410C"/>
    <w:rsid w:val="0059518F"/>
    <w:rsid w:val="005B22EC"/>
    <w:rsid w:val="005B2AD5"/>
    <w:rsid w:val="005C05E3"/>
    <w:rsid w:val="005D0B54"/>
    <w:rsid w:val="00600773"/>
    <w:rsid w:val="0060481F"/>
    <w:rsid w:val="00625773"/>
    <w:rsid w:val="00631672"/>
    <w:rsid w:val="00634123"/>
    <w:rsid w:val="00645AB4"/>
    <w:rsid w:val="006752C7"/>
    <w:rsid w:val="006807FE"/>
    <w:rsid w:val="00692504"/>
    <w:rsid w:val="006C6206"/>
    <w:rsid w:val="006F4443"/>
    <w:rsid w:val="00705C1D"/>
    <w:rsid w:val="00726702"/>
    <w:rsid w:val="00733CD4"/>
    <w:rsid w:val="00743E46"/>
    <w:rsid w:val="007458A6"/>
    <w:rsid w:val="00747320"/>
    <w:rsid w:val="00757C21"/>
    <w:rsid w:val="00763068"/>
    <w:rsid w:val="00783570"/>
    <w:rsid w:val="00785311"/>
    <w:rsid w:val="00795E06"/>
    <w:rsid w:val="007962BC"/>
    <w:rsid w:val="00797EE0"/>
    <w:rsid w:val="007B692A"/>
    <w:rsid w:val="007F4D30"/>
    <w:rsid w:val="008173DB"/>
    <w:rsid w:val="00821CE6"/>
    <w:rsid w:val="00822A04"/>
    <w:rsid w:val="0084102C"/>
    <w:rsid w:val="00856FAA"/>
    <w:rsid w:val="00862836"/>
    <w:rsid w:val="00870784"/>
    <w:rsid w:val="00875207"/>
    <w:rsid w:val="00882B5C"/>
    <w:rsid w:val="008B3736"/>
    <w:rsid w:val="008B5BD0"/>
    <w:rsid w:val="008B5C9C"/>
    <w:rsid w:val="008C747D"/>
    <w:rsid w:val="008D0E81"/>
    <w:rsid w:val="008D71CA"/>
    <w:rsid w:val="00900E95"/>
    <w:rsid w:val="00906D1D"/>
    <w:rsid w:val="00964E3E"/>
    <w:rsid w:val="009671AD"/>
    <w:rsid w:val="00971AEB"/>
    <w:rsid w:val="00996C77"/>
    <w:rsid w:val="0099775D"/>
    <w:rsid w:val="009B41DF"/>
    <w:rsid w:val="009C5CF9"/>
    <w:rsid w:val="009E790B"/>
    <w:rsid w:val="009F4E2F"/>
    <w:rsid w:val="00A07443"/>
    <w:rsid w:val="00A20BC8"/>
    <w:rsid w:val="00A21E8D"/>
    <w:rsid w:val="00A33323"/>
    <w:rsid w:val="00A8428E"/>
    <w:rsid w:val="00AB6758"/>
    <w:rsid w:val="00AD0146"/>
    <w:rsid w:val="00AD1A26"/>
    <w:rsid w:val="00AF31FA"/>
    <w:rsid w:val="00B02F11"/>
    <w:rsid w:val="00B073E3"/>
    <w:rsid w:val="00B31B8C"/>
    <w:rsid w:val="00B37D5C"/>
    <w:rsid w:val="00B40970"/>
    <w:rsid w:val="00B447E9"/>
    <w:rsid w:val="00B579E7"/>
    <w:rsid w:val="00B76A7A"/>
    <w:rsid w:val="00B80C98"/>
    <w:rsid w:val="00B82510"/>
    <w:rsid w:val="00B90DAC"/>
    <w:rsid w:val="00B95C91"/>
    <w:rsid w:val="00B961EB"/>
    <w:rsid w:val="00BA51AA"/>
    <w:rsid w:val="00BA63BD"/>
    <w:rsid w:val="00BB3507"/>
    <w:rsid w:val="00BD522D"/>
    <w:rsid w:val="00BE1BC8"/>
    <w:rsid w:val="00BF37C7"/>
    <w:rsid w:val="00C11AC3"/>
    <w:rsid w:val="00C50726"/>
    <w:rsid w:val="00CA50DB"/>
    <w:rsid w:val="00CC5231"/>
    <w:rsid w:val="00CD624F"/>
    <w:rsid w:val="00CE1F0E"/>
    <w:rsid w:val="00CF417F"/>
    <w:rsid w:val="00D06E79"/>
    <w:rsid w:val="00D122CD"/>
    <w:rsid w:val="00D1286F"/>
    <w:rsid w:val="00D2135F"/>
    <w:rsid w:val="00D65526"/>
    <w:rsid w:val="00D71866"/>
    <w:rsid w:val="00D77A69"/>
    <w:rsid w:val="00D83B7B"/>
    <w:rsid w:val="00D95094"/>
    <w:rsid w:val="00DB6A13"/>
    <w:rsid w:val="00DD66DA"/>
    <w:rsid w:val="00E05681"/>
    <w:rsid w:val="00E06B71"/>
    <w:rsid w:val="00E51ECD"/>
    <w:rsid w:val="00E76E7C"/>
    <w:rsid w:val="00E9411C"/>
    <w:rsid w:val="00EB3080"/>
    <w:rsid w:val="00EB5F4E"/>
    <w:rsid w:val="00EC5A74"/>
    <w:rsid w:val="00ED5293"/>
    <w:rsid w:val="00ED6FBE"/>
    <w:rsid w:val="00EE52C4"/>
    <w:rsid w:val="00EF2A54"/>
    <w:rsid w:val="00EF7C5E"/>
    <w:rsid w:val="00F141DE"/>
    <w:rsid w:val="00F17E39"/>
    <w:rsid w:val="00F21181"/>
    <w:rsid w:val="00F345FE"/>
    <w:rsid w:val="00F5530E"/>
    <w:rsid w:val="00F66059"/>
    <w:rsid w:val="00F72FAA"/>
    <w:rsid w:val="00F84C95"/>
    <w:rsid w:val="00FD0C47"/>
    <w:rsid w:val="00FF26D4"/>
    <w:rsid w:val="00FF5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C5092"/>
  <w15:docId w15:val="{60ABC94B-2933-EE4B-A264-699678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7D9C"/>
    <w:rPr>
      <w:color w:val="0563C1" w:themeColor="hyperlink"/>
      <w:u w:val="single"/>
    </w:rPr>
  </w:style>
  <w:style w:type="paragraph" w:styleId="Intestazione">
    <w:name w:val="header"/>
    <w:basedOn w:val="Normale"/>
    <w:link w:val="IntestazioneCarattere"/>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IntestazioneCarattere">
    <w:name w:val="Intestazione Carattere"/>
    <w:basedOn w:val="Carpredefinitoparagrafo"/>
    <w:link w:val="Intestazione"/>
    <w:uiPriority w:val="99"/>
    <w:rsid w:val="00507D9C"/>
    <w:rPr>
      <w:rFonts w:asciiTheme="minorHAnsi" w:hAnsiTheme="minorHAnsi" w:cstheme="minorBidi"/>
      <w:szCs w:val="22"/>
      <w:lang w:val="en-US"/>
    </w:rPr>
  </w:style>
  <w:style w:type="paragraph" w:styleId="Nessunaspaziatura">
    <w:name w:val="No Spacing"/>
    <w:qFormat/>
    <w:rsid w:val="00507D9C"/>
    <w:rPr>
      <w:rFonts w:ascii="Calibri" w:eastAsia="Calibri" w:hAnsi="Calibri" w:cs="Times New Roman"/>
      <w:szCs w:val="22"/>
    </w:rPr>
  </w:style>
  <w:style w:type="character" w:customStyle="1" w:styleId="apple-converted-space">
    <w:name w:val="apple-converted-space"/>
    <w:basedOn w:val="Carpredefinitoparagrafo"/>
    <w:rsid w:val="00507D9C"/>
  </w:style>
  <w:style w:type="character" w:styleId="Enfasigrassetto">
    <w:name w:val="Strong"/>
    <w:uiPriority w:val="22"/>
    <w:qFormat/>
    <w:rsid w:val="00507D9C"/>
    <w:rPr>
      <w:b/>
      <w:bCs/>
    </w:rPr>
  </w:style>
  <w:style w:type="paragraph" w:styleId="Paragrafoelenco">
    <w:name w:val="List Paragraph"/>
    <w:basedOn w:val="Normale"/>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dipagina">
    <w:name w:val="footer"/>
    <w:basedOn w:val="Normale"/>
    <w:link w:val="PidipaginaCarattere"/>
    <w:uiPriority w:val="99"/>
    <w:unhideWhenUsed/>
    <w:rsid w:val="00507D9C"/>
    <w:pPr>
      <w:tabs>
        <w:tab w:val="center" w:pos="4252"/>
        <w:tab w:val="right" w:pos="8504"/>
      </w:tabs>
    </w:pPr>
  </w:style>
  <w:style w:type="character" w:customStyle="1" w:styleId="PidipaginaCarattere">
    <w:name w:val="Piè di pagina Carattere"/>
    <w:basedOn w:val="Carpredefinitoparagrafo"/>
    <w:link w:val="Pidipagina"/>
    <w:uiPriority w:val="99"/>
    <w:rsid w:val="00507D9C"/>
  </w:style>
  <w:style w:type="paragraph" w:styleId="Testofumetto">
    <w:name w:val="Balloon Text"/>
    <w:basedOn w:val="Normale"/>
    <w:link w:val="TestofumettoCarattere"/>
    <w:uiPriority w:val="99"/>
    <w:semiHidden/>
    <w:unhideWhenUsed/>
    <w:rsid w:val="00BD52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22D"/>
    <w:rPr>
      <w:rFonts w:ascii="Tahoma" w:hAnsi="Tahoma" w:cs="Tahoma"/>
      <w:sz w:val="16"/>
      <w:szCs w:val="16"/>
    </w:rPr>
  </w:style>
  <w:style w:type="character" w:styleId="Rimandocommento">
    <w:name w:val="annotation reference"/>
    <w:basedOn w:val="Carpredefinitoparagrafo"/>
    <w:uiPriority w:val="99"/>
    <w:semiHidden/>
    <w:unhideWhenUsed/>
    <w:rsid w:val="00326CF8"/>
    <w:rPr>
      <w:sz w:val="16"/>
      <w:szCs w:val="16"/>
    </w:rPr>
  </w:style>
  <w:style w:type="paragraph" w:styleId="Testocommento">
    <w:name w:val="annotation text"/>
    <w:basedOn w:val="Normale"/>
    <w:link w:val="TestocommentoCarattere"/>
    <w:uiPriority w:val="99"/>
    <w:semiHidden/>
    <w:unhideWhenUsed/>
    <w:rsid w:val="00326CF8"/>
    <w:rPr>
      <w:sz w:val="20"/>
      <w:szCs w:val="20"/>
    </w:rPr>
  </w:style>
  <w:style w:type="character" w:customStyle="1" w:styleId="TestocommentoCarattere">
    <w:name w:val="Testo commento Carattere"/>
    <w:basedOn w:val="Carpredefinitoparagrafo"/>
    <w:link w:val="Testocommento"/>
    <w:uiPriority w:val="99"/>
    <w:semiHidden/>
    <w:rsid w:val="00326CF8"/>
    <w:rPr>
      <w:sz w:val="20"/>
      <w:szCs w:val="20"/>
    </w:rPr>
  </w:style>
  <w:style w:type="paragraph" w:styleId="Soggettocommento">
    <w:name w:val="annotation subject"/>
    <w:basedOn w:val="Testocommento"/>
    <w:next w:val="Testocommento"/>
    <w:link w:val="SoggettocommentoCarattere"/>
    <w:uiPriority w:val="99"/>
    <w:semiHidden/>
    <w:unhideWhenUsed/>
    <w:rsid w:val="00326CF8"/>
    <w:rPr>
      <w:b/>
      <w:bCs/>
    </w:rPr>
  </w:style>
  <w:style w:type="character" w:customStyle="1" w:styleId="SoggettocommentoCarattere">
    <w:name w:val="Soggetto commento Carattere"/>
    <w:basedOn w:val="TestocommentoCarattere"/>
    <w:link w:val="Soggettocommento"/>
    <w:uiPriority w:val="99"/>
    <w:semiHidden/>
    <w:rsid w:val="00326CF8"/>
    <w:rPr>
      <w:b/>
      <w:bCs/>
      <w:sz w:val="20"/>
      <w:szCs w:val="20"/>
    </w:rPr>
  </w:style>
  <w:style w:type="paragraph" w:styleId="Revisione">
    <w:name w:val="Revision"/>
    <w:hidden/>
    <w:uiPriority w:val="99"/>
    <w:semiHidden/>
    <w:rsid w:val="008B5C9C"/>
  </w:style>
  <w:style w:type="paragraph" w:styleId="Citazione">
    <w:name w:val="Quote"/>
    <w:basedOn w:val="Normale"/>
    <w:next w:val="Normale"/>
    <w:link w:val="CitazioneCarattere"/>
    <w:uiPriority w:val="29"/>
    <w:qFormat/>
    <w:rsid w:val="00B80C9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B80C98"/>
    <w:rPr>
      <w:i/>
      <w:iCs/>
      <w:color w:val="404040" w:themeColor="text1" w:themeTint="BF"/>
    </w:rPr>
  </w:style>
  <w:style w:type="paragraph" w:styleId="Sottotitolo">
    <w:name w:val="Subtitle"/>
    <w:basedOn w:val="Normale"/>
    <w:next w:val="Normale"/>
    <w:link w:val="SottotitoloCarattere"/>
    <w:uiPriority w:val="11"/>
    <w:qFormat/>
    <w:rsid w:val="00F5530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F5530E"/>
    <w:rPr>
      <w:rFonts w:asciiTheme="minorHAnsi" w:eastAsiaTheme="minorEastAsia" w:hAnsiTheme="minorHAnsi" w:cstheme="minorBidi"/>
      <w:color w:val="5A5A5A" w:themeColor="text1" w:themeTint="A5"/>
      <w:spacing w:val="15"/>
      <w:szCs w:val="22"/>
    </w:rPr>
  </w:style>
  <w:style w:type="table" w:styleId="Grigliatabella">
    <w:name w:val="Table Grid"/>
    <w:basedOn w:val="Tabellanormale"/>
    <w:rsid w:val="00EC5A74"/>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EC5A74"/>
    <w:pPr>
      <w:spacing w:before="100" w:beforeAutospacing="1" w:after="119" w:line="276" w:lineRule="auto"/>
    </w:pPr>
    <w:rPr>
      <w:rFonts w:ascii="Calibri" w:eastAsia="Times New Roman" w:hAnsi="Calibri" w:cs="Calibri"/>
      <w:color w:val="000000"/>
      <w:szCs w:val="22"/>
      <w:lang w:val="es-ES" w:eastAsia="es-ES"/>
    </w:rPr>
  </w:style>
  <w:style w:type="paragraph" w:styleId="NormaleWeb">
    <w:name w:val="Normal (Web)"/>
    <w:basedOn w:val="Normale"/>
    <w:uiPriority w:val="99"/>
    <w:semiHidden/>
    <w:unhideWhenUsed/>
    <w:rsid w:val="00F345FE"/>
    <w:pPr>
      <w:spacing w:before="100" w:beforeAutospacing="1" w:after="100" w:afterAutospacing="1"/>
    </w:pPr>
    <w:rPr>
      <w:rFonts w:ascii="Times New Roman" w:eastAsia="Times New Roman" w:hAnsi="Times New Roman" w:cs="Times New Roman"/>
      <w:sz w:val="24"/>
      <w:lang w:val="it-IT" w:eastAsia="it-IT"/>
    </w:rPr>
  </w:style>
  <w:style w:type="character" w:styleId="Enfasicorsivo">
    <w:name w:val="Emphasis"/>
    <w:basedOn w:val="Carpredefinitoparagrafo"/>
    <w:uiPriority w:val="20"/>
    <w:qFormat/>
    <w:rsid w:val="00F3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3217">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442259931">
      <w:bodyDiv w:val="1"/>
      <w:marLeft w:val="0"/>
      <w:marRight w:val="0"/>
      <w:marTop w:val="0"/>
      <w:marBottom w:val="0"/>
      <w:divBdr>
        <w:top w:val="none" w:sz="0" w:space="0" w:color="auto"/>
        <w:left w:val="none" w:sz="0" w:space="0" w:color="auto"/>
        <w:bottom w:val="none" w:sz="0" w:space="0" w:color="auto"/>
        <w:right w:val="none" w:sz="0" w:space="0" w:color="auto"/>
      </w:divBdr>
      <w:divsChild>
        <w:div w:id="1328366042">
          <w:marLeft w:val="0"/>
          <w:marRight w:val="0"/>
          <w:marTop w:val="0"/>
          <w:marBottom w:val="0"/>
          <w:divBdr>
            <w:top w:val="none" w:sz="0" w:space="0" w:color="auto"/>
            <w:left w:val="none" w:sz="0" w:space="0" w:color="auto"/>
            <w:bottom w:val="none" w:sz="0" w:space="0" w:color="auto"/>
            <w:right w:val="none" w:sz="0" w:space="0" w:color="auto"/>
          </w:divBdr>
          <w:divsChild>
            <w:div w:id="584069012">
              <w:marLeft w:val="0"/>
              <w:marRight w:val="0"/>
              <w:marTop w:val="0"/>
              <w:marBottom w:val="0"/>
              <w:divBdr>
                <w:top w:val="none" w:sz="0" w:space="0" w:color="auto"/>
                <w:left w:val="none" w:sz="0" w:space="0" w:color="auto"/>
                <w:bottom w:val="none" w:sz="0" w:space="0" w:color="auto"/>
                <w:right w:val="none" w:sz="0" w:space="0" w:color="auto"/>
              </w:divBdr>
              <w:divsChild>
                <w:div w:id="11883240">
                  <w:marLeft w:val="0"/>
                  <w:marRight w:val="0"/>
                  <w:marTop w:val="0"/>
                  <w:marBottom w:val="0"/>
                  <w:divBdr>
                    <w:top w:val="none" w:sz="0" w:space="0" w:color="auto"/>
                    <w:left w:val="none" w:sz="0" w:space="0" w:color="auto"/>
                    <w:bottom w:val="none" w:sz="0" w:space="0" w:color="auto"/>
                    <w:right w:val="none" w:sz="0" w:space="0" w:color="auto"/>
                  </w:divBdr>
                  <w:divsChild>
                    <w:div w:id="1110971617">
                      <w:marLeft w:val="0"/>
                      <w:marRight w:val="0"/>
                      <w:marTop w:val="0"/>
                      <w:marBottom w:val="0"/>
                      <w:divBdr>
                        <w:top w:val="none" w:sz="0" w:space="0" w:color="auto"/>
                        <w:left w:val="none" w:sz="0" w:space="0" w:color="auto"/>
                        <w:bottom w:val="none" w:sz="0" w:space="0" w:color="auto"/>
                        <w:right w:val="none" w:sz="0" w:space="0" w:color="auto"/>
                      </w:divBdr>
                      <w:divsChild>
                        <w:div w:id="9887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na.laino@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tomra.com/foo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0" ma:contentTypeDescription="Create a new document." ma:contentTypeScope="" ma:versionID="c5aea119f76cb296ada893e9278000be">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57877687f8a38f6c07c25e1da4d8ffec"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0D5E2-8204-405E-A2CA-B1810C287DE3}">
  <ds:schemaRefs>
    <ds:schemaRef ds:uri="http://schemas.microsoft.com/sharepoint/v3/contenttype/forms"/>
  </ds:schemaRefs>
</ds:datastoreItem>
</file>

<file path=customXml/itemProps2.xml><?xml version="1.0" encoding="utf-8"?>
<ds:datastoreItem xmlns:ds="http://schemas.openxmlformats.org/officeDocument/2006/customXml" ds:itemID="{2E41ECD5-57F6-44F2-AB8D-A4344FF2F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1ED60-6204-454C-A872-9A73B7C9175D}">
  <ds:schemaRefs>
    <ds:schemaRef ds:uri="http://schemas.openxmlformats.org/officeDocument/2006/bibliography"/>
  </ds:schemaRefs>
</ds:datastoreItem>
</file>

<file path=customXml/itemProps4.xml><?xml version="1.0" encoding="utf-8"?>
<ds:datastoreItem xmlns:ds="http://schemas.openxmlformats.org/officeDocument/2006/customXml" ds:itemID="{0FD0A596-F82D-40FF-9260-BE7245E26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1088</Words>
  <Characters>6207</Characters>
  <Application>Microsoft Office Word</Application>
  <DocSecurity>0</DocSecurity>
  <Lines>51</Lines>
  <Paragraphs>14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cp:lastModifiedBy>Susanna Laino</cp:lastModifiedBy>
  <cp:revision>7</cp:revision>
  <dcterms:created xsi:type="dcterms:W3CDTF">2021-03-16T13:00:00Z</dcterms:created>
  <dcterms:modified xsi:type="dcterms:W3CDTF">2021-03-17T08:42:00Z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