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0270" w14:textId="77777777" w:rsidR="00C52AF1" w:rsidRDefault="00C52AF1" w:rsidP="00E73B66">
      <w:pPr>
        <w:pStyle w:val="NoSpacing"/>
        <w:spacing w:line="360" w:lineRule="auto"/>
        <w:jc w:val="both"/>
        <w:rPr>
          <w:rFonts w:asciiTheme="minorHAnsi" w:hAnsiTheme="minorHAnsi"/>
          <w:lang w:val="en-US"/>
        </w:rPr>
      </w:pPr>
    </w:p>
    <w:p w14:paraId="1E413034" w14:textId="4CDB2790" w:rsidR="00513468" w:rsidRPr="0058746C" w:rsidRDefault="00C3564F" w:rsidP="00F96267">
      <w:pPr>
        <w:rPr>
          <w:b/>
        </w:rPr>
      </w:pPr>
      <w:r>
        <w:rPr>
          <w:b/>
        </w:rPr>
        <w:t>Achieving a</w:t>
      </w:r>
      <w:bookmarkStart w:id="0" w:name="_GoBack"/>
      <w:bookmarkEnd w:id="0"/>
      <w:r w:rsidR="002C1884">
        <w:rPr>
          <w:b/>
        </w:rPr>
        <w:t xml:space="preserve"> circular economy with </w:t>
      </w:r>
      <w:r w:rsidR="00513468">
        <w:rPr>
          <w:b/>
        </w:rPr>
        <w:t xml:space="preserve">TOMRA’s sensor-based ore sorting </w:t>
      </w:r>
      <w:r w:rsidR="002C1884">
        <w:rPr>
          <w:b/>
        </w:rPr>
        <w:t>technology</w:t>
      </w:r>
    </w:p>
    <w:p w14:paraId="56BBBB1F" w14:textId="5835EB19" w:rsidR="00A3087F" w:rsidRDefault="00146D01" w:rsidP="00A3087F">
      <w:r>
        <w:t>In the face of Climate Change, the calls for a sustainable growth agenda are increasingly urgent</w:t>
      </w:r>
      <w:r w:rsidR="00A3087F">
        <w:t>. Last March t</w:t>
      </w:r>
      <w:r>
        <w:t xml:space="preserve">he European </w:t>
      </w:r>
      <w:r w:rsidR="00A3087F">
        <w:t>Commission</w:t>
      </w:r>
      <w:r>
        <w:t xml:space="preserve"> announced i</w:t>
      </w:r>
      <w:r w:rsidR="00A3087F">
        <w:t xml:space="preserve">ts Circular Economy Action Plan as one of the main blocks of the European Green Deal. </w:t>
      </w:r>
      <w:r>
        <w:t>This new EU action plan</w:t>
      </w:r>
      <w:r w:rsidRPr="00D13260">
        <w:t xml:space="preserve"> </w:t>
      </w:r>
      <w:r w:rsidR="00A3087F">
        <w:t xml:space="preserve">promotes </w:t>
      </w:r>
      <w:r>
        <w:t xml:space="preserve">the idea of a circular economy and </w:t>
      </w:r>
      <w:r w:rsidRPr="00D13260">
        <w:t>foster</w:t>
      </w:r>
      <w:r>
        <w:t>s</w:t>
      </w:r>
      <w:r w:rsidRPr="00D13260">
        <w:t xml:space="preserve"> sustainable </w:t>
      </w:r>
      <w:r w:rsidR="00A3087F">
        <w:t xml:space="preserve">processes along the entire life cycle of products, </w:t>
      </w:r>
      <w:r w:rsidRPr="00D13260">
        <w:t xml:space="preserve">aiming to ensure that the resources used </w:t>
      </w:r>
      <w:r w:rsidR="00A3087F">
        <w:t>remain</w:t>
      </w:r>
      <w:r w:rsidRPr="00D13260">
        <w:t xml:space="preserve"> </w:t>
      </w:r>
      <w:r w:rsidR="00A3087F">
        <w:t xml:space="preserve">in use </w:t>
      </w:r>
      <w:r w:rsidRPr="00D13260">
        <w:t>for as long as possible.</w:t>
      </w:r>
      <w:r w:rsidR="00A3087F">
        <w:t xml:space="preserve"> The plan focuses on the </w:t>
      </w:r>
      <w:r w:rsidRPr="00D13260">
        <w:t>sectors that use most resources and where the potential for circularity is high</w:t>
      </w:r>
      <w:r w:rsidR="00A3087F">
        <w:t xml:space="preserve">, many of which rely </w:t>
      </w:r>
      <w:r w:rsidR="00C3564F">
        <w:t>on the</w:t>
      </w:r>
      <w:r w:rsidR="00A3087F">
        <w:t xml:space="preserve"> mining industry for their raw materials.</w:t>
      </w:r>
      <w:r w:rsidR="00A3087F">
        <w:t xml:space="preserve"> </w:t>
      </w:r>
    </w:p>
    <w:p w14:paraId="391FB916" w14:textId="655BA42A" w:rsidR="00146D01" w:rsidRPr="00146D01" w:rsidRDefault="00146D01" w:rsidP="00F96267">
      <w:r>
        <w:t xml:space="preserve">Mining </w:t>
      </w:r>
      <w:r w:rsidRPr="003269C2">
        <w:t xml:space="preserve">will </w:t>
      </w:r>
      <w:r>
        <w:t xml:space="preserve">play </w:t>
      </w:r>
      <w:r w:rsidR="00C3564F">
        <w:t>a</w:t>
      </w:r>
      <w:r>
        <w:t xml:space="preserve"> </w:t>
      </w:r>
      <w:r w:rsidRPr="003269C2">
        <w:t>vital role, as primary resources will continue to be needed due to the growing population an</w:t>
      </w:r>
      <w:r>
        <w:t>d rising per capita consumption, and because it is impossible to close the loop. They are also used for</w:t>
      </w:r>
      <w:r w:rsidRPr="003269C2">
        <w:t xml:space="preserve"> modern applications in energy production and high-tech products. In addition, the sustainable development goals that the </w:t>
      </w:r>
      <w:hyperlink r:id="rId8" w:history="1">
        <w:r>
          <w:rPr>
            <w:rStyle w:val="Hyperlink"/>
          </w:rPr>
          <w:t>United Nations have set up for 2030</w:t>
        </w:r>
      </w:hyperlink>
      <w:r>
        <w:t xml:space="preserve"> are driving the development of green technologies that use a variety of minerals. Mining companies will have to adapt as their customers shift to a circular economy approach, and they will have a key role to play in this transition. </w:t>
      </w:r>
    </w:p>
    <w:p w14:paraId="4F2DC257" w14:textId="06CFF14F" w:rsidR="0088421D" w:rsidRPr="0088421D" w:rsidRDefault="0088421D" w:rsidP="00F96267">
      <w:pPr>
        <w:rPr>
          <w:b/>
        </w:rPr>
      </w:pPr>
      <w:r w:rsidRPr="0088421D">
        <w:rPr>
          <w:b/>
        </w:rPr>
        <w:t xml:space="preserve">Challenges and opportunities for mining </w:t>
      </w:r>
      <w:r>
        <w:rPr>
          <w:b/>
        </w:rPr>
        <w:t>companies</w:t>
      </w:r>
    </w:p>
    <w:p w14:paraId="66AC28EC" w14:textId="77777777" w:rsidR="001260D6" w:rsidRDefault="00720986" w:rsidP="00F96267">
      <w:r>
        <w:t>The development of a circular economy in mining presents both challenges and opportunities for mining companies. It has the potential to address the shortage of mineral resources, waste of resources and environmental pollution while generating economic benefits.</w:t>
      </w:r>
      <w:bookmarkStart w:id="1" w:name="_Hlk42768410"/>
    </w:p>
    <w:p w14:paraId="22733DCC" w14:textId="3A1680A5" w:rsidR="001260D6" w:rsidRPr="001260D6" w:rsidRDefault="001260D6" w:rsidP="00F96267">
      <w:r>
        <w:t>T</w:t>
      </w:r>
      <w:r w:rsidR="0088421D">
        <w:t>he circular-economy</w:t>
      </w:r>
      <w:r w:rsidR="00E87D0E">
        <w:t xml:space="preserve"> approach prioritizes</w:t>
      </w:r>
      <w:r w:rsidR="0009096A">
        <w:t xml:space="preserve"> reusing materials over extracting new raw materials</w:t>
      </w:r>
      <w:r w:rsidR="009128A3">
        <w:t xml:space="preserve">. </w:t>
      </w:r>
      <w:r>
        <w:t xml:space="preserve">However, the need for virgin materials remains, and </w:t>
      </w:r>
      <w:r>
        <w:rPr>
          <w:rFonts w:ascii="Calibri" w:eastAsia="Times New Roman" w:hAnsi="Calibri" w:cs="Calibri"/>
          <w:color w:val="000000"/>
          <w:lang w:val="en-GB"/>
        </w:rPr>
        <w:t>where</w:t>
      </w:r>
      <w:r w:rsidRPr="009128A3">
        <w:rPr>
          <w:rFonts w:ascii="Calibri" w:eastAsia="Times New Roman" w:hAnsi="Calibri" w:cs="Calibri"/>
          <w:color w:val="000000"/>
          <w:lang w:val="en-GB"/>
        </w:rPr>
        <w:t xml:space="preserve">ver </w:t>
      </w:r>
      <w:r>
        <w:rPr>
          <w:rFonts w:ascii="Calibri" w:eastAsia="Times New Roman" w:hAnsi="Calibri" w:cs="Calibri"/>
          <w:color w:val="000000"/>
          <w:lang w:val="en-GB"/>
        </w:rPr>
        <w:t>they</w:t>
      </w:r>
      <w:r w:rsidRPr="009128A3">
        <w:rPr>
          <w:rFonts w:ascii="Calibri" w:eastAsia="Times New Roman" w:hAnsi="Calibri" w:cs="Calibri"/>
          <w:color w:val="000000"/>
          <w:lang w:val="en-GB"/>
        </w:rPr>
        <w:t xml:space="preserve"> are used, their footprint should be as </w:t>
      </w:r>
      <w:r>
        <w:rPr>
          <w:rFonts w:ascii="Calibri" w:eastAsia="Times New Roman" w:hAnsi="Calibri" w:cs="Calibri"/>
          <w:color w:val="000000"/>
          <w:lang w:val="en-GB"/>
        </w:rPr>
        <w:t>small</w:t>
      </w:r>
      <w:r w:rsidRPr="009128A3">
        <w:rPr>
          <w:rFonts w:ascii="Calibri" w:eastAsia="Times New Roman" w:hAnsi="Calibri" w:cs="Calibri"/>
          <w:color w:val="000000"/>
          <w:lang w:val="en-GB"/>
        </w:rPr>
        <w:t xml:space="preserve"> as possible.</w:t>
      </w:r>
      <w:r>
        <w:rPr>
          <w:rFonts w:ascii="Calibri" w:eastAsia="Times New Roman" w:hAnsi="Calibri" w:cs="Calibri"/>
          <w:color w:val="000000"/>
          <w:lang w:val="en-GB"/>
        </w:rPr>
        <w:t xml:space="preserve"> </w:t>
      </w:r>
    </w:p>
    <w:p w14:paraId="7F944DDD" w14:textId="44BC4698" w:rsidR="001260D6" w:rsidRDefault="001260D6" w:rsidP="00F96267">
      <w:r>
        <w:t xml:space="preserve">Also, companies in all industries are under pressure to reduce their environmental impact. This will drive an increase in the demand for sustainably mined products, which poses a challenge for mining companies, but also opens new opportunities. </w:t>
      </w:r>
    </w:p>
    <w:p w14:paraId="565A07BB" w14:textId="048169B9" w:rsidR="001260D6" w:rsidRDefault="008512F8" w:rsidP="00F96267">
      <w:r>
        <w:t xml:space="preserve">In order to </w:t>
      </w:r>
      <w:r w:rsidR="003B3A08">
        <w:t>reduce</w:t>
      </w:r>
      <w:r>
        <w:t xml:space="preserve"> the footprint of the products they offer, mining companies will need to find ways to maximize the efficiency of their operations to minimize the use of energy and other inputs, while reducing waste as much as possible. </w:t>
      </w:r>
    </w:p>
    <w:bookmarkEnd w:id="1"/>
    <w:p w14:paraId="07B5DABE" w14:textId="77777777" w:rsidR="00C3564F" w:rsidRDefault="00660AB7">
      <w:r w:rsidRPr="00660AB7">
        <w:rPr>
          <w:bCs/>
        </w:rPr>
        <w:t>Dr. Mathilde Robben,</w:t>
      </w:r>
      <w:r w:rsidRPr="00660AB7">
        <w:rPr>
          <w:b/>
          <w:bCs/>
        </w:rPr>
        <w:t xml:space="preserve"> </w:t>
      </w:r>
      <w:r w:rsidRPr="00660AB7">
        <w:t xml:space="preserve">Key Account Manager </w:t>
      </w:r>
      <w:r w:rsidR="00763A98">
        <w:t xml:space="preserve">at </w:t>
      </w:r>
      <w:r w:rsidRPr="00660AB7">
        <w:t>TOMRA Sorting Mining</w:t>
      </w:r>
      <w:r w:rsidR="009954EB" w:rsidRPr="00660AB7">
        <w:t>,</w:t>
      </w:r>
      <w:r w:rsidR="009954EB">
        <w:t xml:space="preserve"> commented: “Climate </w:t>
      </w:r>
      <w:r w:rsidR="009954EB">
        <w:t xml:space="preserve">Change and the pursuit of sustainable energy are shaping the global economy of the future, driving the transition from a linear to a circular economy model. </w:t>
      </w:r>
      <w:r w:rsidR="00007C95">
        <w:t>The mining industry is</w:t>
      </w:r>
      <w:r w:rsidR="00FF2F0D">
        <w:t xml:space="preserve"> already adapting and </w:t>
      </w:r>
      <w:r w:rsidR="00007C95">
        <w:t>shift</w:t>
      </w:r>
      <w:r w:rsidR="00FF2F0D">
        <w:t>ing</w:t>
      </w:r>
      <w:r w:rsidR="00007C95">
        <w:t xml:space="preserve"> </w:t>
      </w:r>
      <w:r w:rsidR="00FF2F0D">
        <w:t>towards a Green Mining approach.</w:t>
      </w:r>
      <w:r w:rsidR="00007C95">
        <w:t xml:space="preserve"> As a large consumer of </w:t>
      </w:r>
      <w:r w:rsidR="00007C95" w:rsidRPr="007C310E">
        <w:t>energy, water and chemicals</w:t>
      </w:r>
      <w:r w:rsidR="00007C95">
        <w:t xml:space="preserve">, it is a prime example of a sector where much can be done to reduce the impact on the environment. </w:t>
      </w:r>
      <w:r w:rsidR="001E2734">
        <w:t>However, it is vital that it achieves this move towards sustainable practices without losing sight of profitability.</w:t>
      </w:r>
      <w:r w:rsidR="00A578A4">
        <w:t xml:space="preserve"> TOMRA’s advanced </w:t>
      </w:r>
      <w:r w:rsidR="00B01476">
        <w:t>sensor-based</w:t>
      </w:r>
      <w:r w:rsidR="009954EB">
        <w:t xml:space="preserve"> sorting</w:t>
      </w:r>
      <w:r w:rsidR="00B01476">
        <w:t xml:space="preserve"> technologies</w:t>
      </w:r>
      <w:r w:rsidR="00A578A4">
        <w:t xml:space="preserve"> </w:t>
      </w:r>
      <w:r w:rsidR="009954EB">
        <w:t>address the</w:t>
      </w:r>
      <w:r w:rsidR="009954EB" w:rsidRPr="006D756B">
        <w:t xml:space="preserve"> main </w:t>
      </w:r>
      <w:r w:rsidR="009954EB">
        <w:t xml:space="preserve">challenges the mining industry faces today, such as </w:t>
      </w:r>
      <w:r w:rsidR="009954EB" w:rsidRPr="006D756B">
        <w:t>declini</w:t>
      </w:r>
      <w:r w:rsidR="009954EB">
        <w:t xml:space="preserve">ng head-grades and increasingly difficult to access ore </w:t>
      </w:r>
      <w:r w:rsidR="009954EB">
        <w:lastRenderedPageBreak/>
        <w:t xml:space="preserve">bodies, rising energy and labor costs, </w:t>
      </w:r>
      <w:r w:rsidR="009954EB" w:rsidRPr="006D756B">
        <w:t>and increased environmental liability</w:t>
      </w:r>
      <w:r w:rsidR="009954EB">
        <w:t>, while providing a highly cost-effective solution for mining operations to participate in the circular economy and make the most of the new opportunities it brings.”</w:t>
      </w:r>
    </w:p>
    <w:p w14:paraId="18120747" w14:textId="7D80D8C7" w:rsidR="005247C7" w:rsidRPr="00445395" w:rsidRDefault="002C1884" w:rsidP="00F96267">
      <w:pPr>
        <w:rPr>
          <w:b/>
        </w:rPr>
      </w:pPr>
      <w:r>
        <w:rPr>
          <w:b/>
        </w:rPr>
        <w:t>The role of s</w:t>
      </w:r>
      <w:r w:rsidR="005247C7">
        <w:rPr>
          <w:b/>
        </w:rPr>
        <w:t>ensor-based sorting</w:t>
      </w:r>
      <w:r>
        <w:rPr>
          <w:b/>
        </w:rPr>
        <w:t xml:space="preserve"> in the mining</w:t>
      </w:r>
      <w:r w:rsidR="005247C7">
        <w:rPr>
          <w:b/>
        </w:rPr>
        <w:t xml:space="preserve"> circular economy </w:t>
      </w:r>
    </w:p>
    <w:p w14:paraId="619B9389" w14:textId="77777777" w:rsidR="00330E4A" w:rsidRDefault="00314B0F" w:rsidP="00F96267">
      <w:r w:rsidRPr="006D756B">
        <w:t xml:space="preserve">By investing in new technologies </w:t>
      </w:r>
      <w:r>
        <w:t xml:space="preserve">such as TOMRA’s sensor-based sorting, </w:t>
      </w:r>
      <w:r w:rsidRPr="006D756B">
        <w:t>mining companies can take new approaches to extract natural commodities in an energy-efficient and resource-conserving manner.</w:t>
      </w:r>
      <w:r>
        <w:t xml:space="preserve"> </w:t>
      </w:r>
    </w:p>
    <w:p w14:paraId="0295B797" w14:textId="5025697F" w:rsidR="00E41790" w:rsidRDefault="000B2381" w:rsidP="00F96267">
      <w:r>
        <w:t>I</w:t>
      </w:r>
      <w:r w:rsidR="00314B0F">
        <w:t>nstalling o</w:t>
      </w:r>
      <w:r w:rsidR="00314B0F" w:rsidRPr="006D756B">
        <w:t xml:space="preserve">re sorting machinery in the early stages of </w:t>
      </w:r>
      <w:r w:rsidR="00314B0F">
        <w:t xml:space="preserve">the process </w:t>
      </w:r>
      <w:r w:rsidRPr="006D756B">
        <w:t xml:space="preserve">has the potential to increase productivity through greater efficiency, </w:t>
      </w:r>
      <w:r w:rsidR="00E41790">
        <w:t>as Fred Earnest, President and CEO of Vista Gold Corporation, has experienced with a TOMRA XRT sorter: “</w:t>
      </w:r>
      <w:r w:rsidR="00E41790" w:rsidRPr="00F56164">
        <w:t>Because we’re processing less material, we’re now able to do a finer size. With finer grind our gold recovery has gone up. This has resulted in improvements of grade by 10%; our feed grade to the mill has gone up from 0.84 g/t to now 0.91g/t. We’ve been able to achieve all of this on a capital-neutral basis.</w:t>
      </w:r>
      <w:r w:rsidR="00E41790">
        <w:t>”</w:t>
      </w:r>
    </w:p>
    <w:p w14:paraId="3C16C166" w14:textId="0AF19565" w:rsidR="00C24577" w:rsidRPr="006D756B" w:rsidRDefault="00E41790" w:rsidP="00F96267">
      <w:r>
        <w:t xml:space="preserve">Sensor-based sorting technology can also significantly increase efficiency </w:t>
      </w:r>
      <w:r w:rsidR="000B2381" w:rsidRPr="006D756B">
        <w:t xml:space="preserve">in terms of the </w:t>
      </w:r>
      <w:r w:rsidR="000B2381">
        <w:t xml:space="preserve">input resources, such as </w:t>
      </w:r>
      <w:r w:rsidR="00AA4F89">
        <w:t xml:space="preserve">energy, </w:t>
      </w:r>
      <w:r w:rsidR="000B2381">
        <w:t xml:space="preserve">water </w:t>
      </w:r>
      <w:r w:rsidR="000B2381" w:rsidRPr="006D756B">
        <w:t>and process reagents per ton of product.</w:t>
      </w:r>
      <w:r w:rsidR="000B2381" w:rsidRPr="000B2381">
        <w:t xml:space="preserve"> </w:t>
      </w:r>
      <w:r w:rsidR="007F0189">
        <w:t>This significantly reduces the environmental footprint of the operation. Also, i</w:t>
      </w:r>
      <w:r w:rsidR="00AA4F89" w:rsidRPr="006D756B">
        <w:t>n an environment where competition for resources with other stakeholders such as communities and agriculture is increasingly fierce, this can become a driver to obtain the social license to operate</w:t>
      </w:r>
      <w:r w:rsidR="00AA4F89">
        <w:t>.</w:t>
      </w:r>
      <w:r w:rsidR="007F0189">
        <w:t xml:space="preserve">  </w:t>
      </w:r>
    </w:p>
    <w:p w14:paraId="3A5696D4" w14:textId="70FCF3F1" w:rsidR="007F0189" w:rsidRDefault="0058746C" w:rsidP="00F96267">
      <w:r>
        <w:t>G</w:t>
      </w:r>
      <w:r w:rsidR="000B2381">
        <w:t xml:space="preserve">rinding is the most energy-intensive part of the production </w:t>
      </w:r>
      <w:r w:rsidR="00C12689">
        <w:t>process</w:t>
      </w:r>
      <w:r w:rsidR="000B2381">
        <w:t xml:space="preserve">, </w:t>
      </w:r>
      <w:r>
        <w:t xml:space="preserve">and </w:t>
      </w:r>
      <w:r w:rsidR="00AA4F89">
        <w:t>sensor-based sorting</w:t>
      </w:r>
      <w:r w:rsidR="000B2381">
        <w:t xml:space="preserve"> has been </w:t>
      </w:r>
      <w:r w:rsidR="000B2381" w:rsidRPr="006D756B">
        <w:t>proven to reduce energy consumption by about half</w:t>
      </w:r>
      <w:r w:rsidR="00AA4F89">
        <w:t>,</w:t>
      </w:r>
      <w:r w:rsidR="00AA4F89" w:rsidRPr="00AA4F89">
        <w:t xml:space="preserve"> </w:t>
      </w:r>
      <w:r w:rsidR="00AA4F89">
        <w:t xml:space="preserve">with a consequent </w:t>
      </w:r>
      <w:r w:rsidR="00884750">
        <w:t>cut in</w:t>
      </w:r>
      <w:r w:rsidR="00AA4F89">
        <w:t xml:space="preserve"> </w:t>
      </w:r>
      <w:r w:rsidR="00AA4F89" w:rsidRPr="00792233">
        <w:t>CO</w:t>
      </w:r>
      <w:r w:rsidR="00AA4F89" w:rsidRPr="00792233">
        <w:rPr>
          <w:vertAlign w:val="subscript"/>
        </w:rPr>
        <w:t>2</w:t>
      </w:r>
      <w:r w:rsidR="00AA4F89" w:rsidRPr="00792233">
        <w:t xml:space="preserve"> </w:t>
      </w:r>
      <w:r w:rsidR="00884750">
        <w:t>emissions</w:t>
      </w:r>
      <w:r w:rsidR="00AA4F89" w:rsidRPr="00792233">
        <w:t>.</w:t>
      </w:r>
      <w:r w:rsidR="00AA4F89">
        <w:t xml:space="preserve"> It</w:t>
      </w:r>
      <w:r>
        <w:t xml:space="preserve"> also</w:t>
      </w:r>
      <w:r w:rsidR="00314B0F">
        <w:t xml:space="preserve"> results in a smaller </w:t>
      </w:r>
      <w:r w:rsidR="00AA4F89">
        <w:t xml:space="preserve">footprint for the operation and </w:t>
      </w:r>
      <w:r w:rsidR="00314B0F">
        <w:t>reduces waste material.</w:t>
      </w:r>
    </w:p>
    <w:p w14:paraId="00AF148C" w14:textId="5D3D8DC8" w:rsidR="005247C7" w:rsidRDefault="005B7A9C" w:rsidP="00F96267">
      <w:r>
        <w:t>TOMRA’s</w:t>
      </w:r>
      <w:r w:rsidR="005247C7">
        <w:t xml:space="preserve"> sensor-based </w:t>
      </w:r>
      <w:r>
        <w:t xml:space="preserve">ore </w:t>
      </w:r>
      <w:r w:rsidR="00C24577">
        <w:t>sorting can</w:t>
      </w:r>
      <w:r w:rsidR="005247C7">
        <w:t xml:space="preserve"> </w:t>
      </w:r>
      <w:r>
        <w:t>contribute to</w:t>
      </w:r>
      <w:r w:rsidR="005247C7">
        <w:t xml:space="preserve"> circular economy </w:t>
      </w:r>
      <w:r>
        <w:t>practices at the mine site level</w:t>
      </w:r>
      <w:r w:rsidR="005247C7">
        <w:t xml:space="preserve"> </w:t>
      </w:r>
      <w:r>
        <w:t>through a proactive management of mining waste</w:t>
      </w:r>
      <w:r w:rsidR="004931FF">
        <w:t xml:space="preserve"> dumps</w:t>
      </w:r>
      <w:r>
        <w:t xml:space="preserve"> and by e</w:t>
      </w:r>
      <w:r w:rsidR="005247C7">
        <w:t>xtending the lifetime of their operation</w:t>
      </w:r>
      <w:r>
        <w:t xml:space="preserve">. </w:t>
      </w:r>
      <w:r w:rsidR="005247C7">
        <w:t xml:space="preserve"> </w:t>
      </w:r>
      <w:r>
        <w:t xml:space="preserve">This technology </w:t>
      </w:r>
      <w:r w:rsidR="005247C7">
        <w:t>can recover valuable ore even from sub-economic deposits or dumps, tu</w:t>
      </w:r>
      <w:r>
        <w:t xml:space="preserve">rning marginal waste into value, adding to its </w:t>
      </w:r>
      <w:r w:rsidR="005247C7">
        <w:t>significant impact on the sustainability and profitability</w:t>
      </w:r>
      <w:r>
        <w:t xml:space="preserve"> of the mine</w:t>
      </w:r>
      <w:r w:rsidR="005247C7">
        <w:t>.</w:t>
      </w:r>
    </w:p>
    <w:p w14:paraId="53A74EBB" w14:textId="332763DB" w:rsidR="007F0189" w:rsidRPr="00E41790" w:rsidRDefault="00C24577" w:rsidP="00F96267">
      <w:pPr>
        <w:rPr>
          <w:rFonts w:ascii="Calibri" w:hAnsi="Calibri" w:cs="Calibri"/>
          <w:color w:val="000000"/>
        </w:rPr>
      </w:pPr>
      <w:r>
        <w:t xml:space="preserve">This was the experience of </w:t>
      </w:r>
      <w:r w:rsidRPr="00CC4960">
        <w:t>Engineering and project management company P2E Consulting</w:t>
      </w:r>
      <w:r>
        <w:t>, which commissioned a TOMRA X-Ray Transmission sorter to replace an existing drum Dense Media Separation (DMS) plant at Eastern Chrome mines in South Africa: “</w:t>
      </w:r>
      <w:r w:rsidRPr="0030172B">
        <w:t xml:space="preserve">The TOMRA </w:t>
      </w:r>
      <w:r>
        <w:t xml:space="preserve">XRT sorter </w:t>
      </w:r>
      <w:r w:rsidRPr="00CC4960">
        <w:t>is used to upgrade Under Value (UV) material with a head grade of 20% to 28%, to produce a saleable product at a minimum grade of 38% Cr2O3. It does this efficiently and at</w:t>
      </w:r>
      <w:r>
        <w:t xml:space="preserve"> a low Cost of Production (COP), </w:t>
      </w:r>
      <w:r w:rsidRPr="001D5AFA">
        <w:t xml:space="preserve">with </w:t>
      </w:r>
      <w:r>
        <w:t>achieving grades</w:t>
      </w:r>
      <w:r w:rsidRPr="001D5AFA">
        <w:t xml:space="preserve"> in excess of 40% Cr2O3 and mass recoveries of 25 to 30% from scalped waste resulting in Chrome-in-tails as low as 12%</w:t>
      </w:r>
      <w:r>
        <w:t xml:space="preserve">. </w:t>
      </w:r>
      <w:r>
        <w:rPr>
          <w:rFonts w:ascii="Calibri" w:hAnsi="Calibri" w:cs="Calibri"/>
          <w:color w:val="000000"/>
        </w:rPr>
        <w:t>T</w:t>
      </w:r>
      <w:r w:rsidRPr="001D5AFA">
        <w:rPr>
          <w:rFonts w:ascii="Calibri" w:hAnsi="Calibri" w:cs="Calibri"/>
          <w:color w:val="000000"/>
        </w:rPr>
        <w:t>here was no water usage at all and we didn’t need to spend on expensive</w:t>
      </w:r>
      <w:r w:rsidRPr="004025DD">
        <w:rPr>
          <w:rFonts w:ascii="Calibri" w:hAnsi="Calibri" w:cs="Calibri"/>
          <w:color w:val="000000"/>
        </w:rPr>
        <w:t xml:space="preserve"> reagents, so that we are producing Small Lumpy product for approximately 50% of the cost compared to a DMS plant.”</w:t>
      </w:r>
    </w:p>
    <w:p w14:paraId="79233B7E" w14:textId="14152F58" w:rsidR="008270FE" w:rsidRDefault="00EE604B" w:rsidP="00F96267">
      <w:r>
        <w:t xml:space="preserve">Mining companies are rethinking their operating and business models to address the challenges </w:t>
      </w:r>
      <w:r w:rsidR="00C12689">
        <w:t>of Climate Change and to meet the demands of</w:t>
      </w:r>
      <w:r>
        <w:t xml:space="preserve"> their customers</w:t>
      </w:r>
      <w:r w:rsidR="00C12689">
        <w:t xml:space="preserve"> as they shift to</w:t>
      </w:r>
      <w:r>
        <w:t xml:space="preserve"> circular economy models. TOMRA’s sensor-based </w:t>
      </w:r>
      <w:r w:rsidR="008270FE">
        <w:t xml:space="preserve">sorting </w:t>
      </w:r>
      <w:r>
        <w:t xml:space="preserve">technologies </w:t>
      </w:r>
      <w:r w:rsidR="008270FE">
        <w:t xml:space="preserve">can help them participate in the circular </w:t>
      </w:r>
      <w:r w:rsidR="008270FE">
        <w:lastRenderedPageBreak/>
        <w:t xml:space="preserve">economy with Green Mining practices and take full advantage of the opportunities it creates. Its </w:t>
      </w:r>
      <w:r w:rsidR="008270FE">
        <w:t xml:space="preserve">solutions, which range </w:t>
      </w:r>
      <w:r w:rsidR="008270FE" w:rsidRPr="006D756B">
        <w:t>from industrial mineral processes to sorting</w:t>
      </w:r>
      <w:r w:rsidR="00F525B7">
        <w:t xml:space="preserve"> gemstones,</w:t>
      </w:r>
      <w:r w:rsidR="008270FE" w:rsidRPr="006D756B">
        <w:t xml:space="preserve"> ferrous and non-ferrous metals, </w:t>
      </w:r>
      <w:r w:rsidR="008270FE">
        <w:t xml:space="preserve">other fuels and slag metal, are in operation across the world, </w:t>
      </w:r>
      <w:r w:rsidR="008270FE" w:rsidRPr="006D756B">
        <w:t>each contributing to extending the lifetime of mining operations, increasing</w:t>
      </w:r>
      <w:r w:rsidR="008270FE">
        <w:t xml:space="preserve"> the value derived from deposit and </w:t>
      </w:r>
      <w:r w:rsidR="008270FE" w:rsidRPr="006D756B">
        <w:t>productivity</w:t>
      </w:r>
      <w:r w:rsidR="008270FE">
        <w:t>,</w:t>
      </w:r>
      <w:r w:rsidR="008270FE" w:rsidRPr="006D756B">
        <w:t xml:space="preserve"> </w:t>
      </w:r>
      <w:r w:rsidR="00C12689">
        <w:t>and reducing the environmental footprint of mining companies and their customers</w:t>
      </w:r>
      <w:r w:rsidR="008270FE" w:rsidRPr="00792233">
        <w:t>.</w:t>
      </w:r>
    </w:p>
    <w:p w14:paraId="0BC60CDA" w14:textId="77777777" w:rsidR="00C3564F" w:rsidRDefault="00C3564F" w:rsidP="00F96267"/>
    <w:p w14:paraId="2FDED249" w14:textId="17381F72" w:rsidR="0086002A" w:rsidRPr="00D56197" w:rsidRDefault="0086002A" w:rsidP="00F96267">
      <w:pPr>
        <w:rPr>
          <w:rFonts w:cs="Arial"/>
          <w:b/>
        </w:rPr>
      </w:pPr>
      <w:bookmarkStart w:id="2" w:name="_Hlk7167345"/>
      <w:r w:rsidRPr="00D56197">
        <w:rPr>
          <w:rFonts w:cs="Arial"/>
          <w:b/>
        </w:rPr>
        <w:t>About TOMRA Sorting Mining</w:t>
      </w:r>
    </w:p>
    <w:bookmarkEnd w:id="2"/>
    <w:p w14:paraId="1235F56B" w14:textId="77777777" w:rsidR="0086002A" w:rsidRPr="003269C2" w:rsidRDefault="0086002A" w:rsidP="00F96267">
      <w:pPr>
        <w:jc w:val="both"/>
      </w:pPr>
      <w:r w:rsidRPr="003269C2">
        <w:t xml:space="preserve">TOMRA Sorting Mining designs and manufactures sensor-based sorting technologies for the global mineral processing and mining industries. </w:t>
      </w:r>
    </w:p>
    <w:p w14:paraId="245DA044" w14:textId="77777777" w:rsidR="0086002A" w:rsidRPr="003269C2" w:rsidRDefault="0086002A" w:rsidP="00F96267">
      <w:pPr>
        <w:jc w:val="both"/>
      </w:pPr>
      <w:r w:rsidRPr="003269C2">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EA1BDF6" w14:textId="77777777" w:rsidR="00F96267" w:rsidRDefault="00F96267" w:rsidP="00F96267">
      <w:pPr>
        <w:rPr>
          <w:b/>
          <w:bCs/>
        </w:rPr>
      </w:pPr>
      <w:r>
        <w:rPr>
          <w:b/>
          <w:bCs/>
        </w:rPr>
        <w:t>About TOMRA</w:t>
      </w:r>
    </w:p>
    <w:p w14:paraId="0E014935" w14:textId="77777777" w:rsidR="00F96267" w:rsidRPr="00BA6355" w:rsidRDefault="00F96267" w:rsidP="00F96267">
      <w:pPr>
        <w:jc w:val="both"/>
      </w:pPr>
      <w:r w:rsidRPr="00BA6355">
        <w:t xml:space="preserve">TOMRA was founded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62622AA1" w14:textId="77777777" w:rsidR="00F96267" w:rsidRDefault="00F96267" w:rsidP="00F96267">
      <w:pPr>
        <w:jc w:val="both"/>
      </w:pPr>
      <w:r w:rsidRPr="003C4D3D">
        <w:t>TOMRA has more than ~100,000 installations in over 80 markets worldwide and had total revenues of ~ 9.3 billion NOK in 2019. The Group employs ~4,500 globally and is publicly listed on the Oslo Stock Exchange (OSE: TOM</w:t>
      </w:r>
      <w:r>
        <w:t xml:space="preserve">). For further information about TOMRA, please see </w:t>
      </w:r>
      <w:hyperlink r:id="rId9" w:history="1">
        <w:r>
          <w:rPr>
            <w:rStyle w:val="Hyperlink"/>
          </w:rPr>
          <w:t>www.tomra.com</w:t>
        </w:r>
      </w:hyperlink>
    </w:p>
    <w:p w14:paraId="582C9C64" w14:textId="3209A36B" w:rsidR="00984528" w:rsidRDefault="0086002A" w:rsidP="00F96267">
      <w:pPr>
        <w:pStyle w:val="NoSpacing"/>
        <w:spacing w:after="200" w:line="276" w:lineRule="auto"/>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10" w:history="1">
        <w:r w:rsidRPr="00D56197">
          <w:rPr>
            <w:rStyle w:val="Hyperlink"/>
            <w:rFonts w:asciiTheme="minorHAnsi" w:hAnsiTheme="minorHAnsi" w:cs="Arial"/>
            <w:lang w:val="en-US"/>
          </w:rPr>
          <w:t>www.tomra.com/mining</w:t>
        </w:r>
      </w:hyperlink>
      <w:r w:rsidRPr="00D56197">
        <w:rPr>
          <w:rStyle w:val="Hyperlink"/>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11" w:history="1">
        <w:r w:rsidRPr="00D56197">
          <w:rPr>
            <w:rStyle w:val="Hyperlink"/>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2" w:history="1">
        <w:r w:rsidRPr="00D56197">
          <w:rPr>
            <w:rStyle w:val="Hyperlink"/>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3" w:history="1">
        <w:r w:rsidRPr="00D56197">
          <w:rPr>
            <w:rStyle w:val="Hyperlink"/>
            <w:rFonts w:asciiTheme="minorHAnsi" w:hAnsiTheme="minorHAnsi" w:cs="Arial"/>
            <w:lang w:val="en-US" w:eastAsia="en-GB"/>
          </w:rPr>
          <w:t>Facebook</w:t>
        </w:r>
      </w:hyperlink>
      <w:r w:rsidRPr="00D56197">
        <w:rPr>
          <w:rFonts w:asciiTheme="minorHAnsi" w:hAnsiTheme="minorHAnsi" w:cs="Arial"/>
          <w:iCs/>
          <w:lang w:val="en-US" w:eastAsia="en-GB"/>
        </w:rPr>
        <w:t>.</w:t>
      </w:r>
    </w:p>
    <w:p w14:paraId="24C3EFBF" w14:textId="77777777" w:rsidR="00F96267" w:rsidRPr="00660AB7" w:rsidRDefault="00F96267" w:rsidP="00F96267">
      <w:pPr>
        <w:rPr>
          <w:rFonts w:cs="Arial"/>
          <w:b/>
          <w:sz w:val="24"/>
          <w:szCs w:val="24"/>
        </w:rPr>
      </w:pPr>
    </w:p>
    <w:p w14:paraId="727FD3DF" w14:textId="77777777" w:rsidR="00F96267" w:rsidRPr="00F96267" w:rsidRDefault="00F96267" w:rsidP="00F96267">
      <w:pPr>
        <w:rPr>
          <w:rFonts w:cs="Arial"/>
          <w:b/>
          <w:sz w:val="24"/>
          <w:szCs w:val="24"/>
          <w:lang w:val="es-ES"/>
        </w:rPr>
      </w:pPr>
      <w:r w:rsidRPr="00F96267">
        <w:rPr>
          <w:rFonts w:cs="Arial"/>
          <w:b/>
          <w:sz w:val="24"/>
          <w:szCs w:val="24"/>
          <w:lang w:val="es-ES"/>
        </w:rPr>
        <w:t>Media Contacts:</w:t>
      </w:r>
    </w:p>
    <w:p w14:paraId="2CF00840" w14:textId="77777777" w:rsidR="00F96267" w:rsidRPr="00F96267" w:rsidRDefault="00F96267" w:rsidP="00F96267">
      <w:pPr>
        <w:pStyle w:val="NoSpacing"/>
        <w:rPr>
          <w:rFonts w:asciiTheme="minorHAnsi" w:hAnsiTheme="minorHAnsi" w:cs="Arial"/>
          <w:sz w:val="24"/>
          <w:szCs w:val="24"/>
          <w:lang w:val="es-ES"/>
        </w:rPr>
      </w:pPr>
      <w:r w:rsidRPr="00F96267">
        <w:rPr>
          <w:rFonts w:asciiTheme="minorHAnsi" w:hAnsiTheme="minorHAnsi" w:cs="Arial"/>
          <w:sz w:val="24"/>
          <w:szCs w:val="24"/>
          <w:lang w:val="es-ES"/>
        </w:rPr>
        <w:t>Nuria Martí</w:t>
      </w:r>
      <w:r w:rsidRPr="00F96267">
        <w:rPr>
          <w:rFonts w:asciiTheme="minorHAnsi" w:hAnsiTheme="minorHAnsi" w:cs="Arial"/>
          <w:sz w:val="24"/>
          <w:szCs w:val="24"/>
          <w:lang w:val="es-ES"/>
        </w:rPr>
        <w:tab/>
      </w:r>
      <w:r w:rsidRPr="00F96267">
        <w:rPr>
          <w:rFonts w:asciiTheme="minorHAnsi" w:hAnsiTheme="minorHAnsi" w:cs="Arial"/>
          <w:sz w:val="24"/>
          <w:szCs w:val="24"/>
          <w:lang w:val="es-ES"/>
        </w:rPr>
        <w:tab/>
      </w:r>
      <w:r w:rsidRPr="00F96267">
        <w:rPr>
          <w:rFonts w:asciiTheme="minorHAnsi" w:hAnsiTheme="minorHAnsi" w:cs="Arial"/>
          <w:sz w:val="24"/>
          <w:szCs w:val="24"/>
          <w:lang w:val="es-ES"/>
        </w:rPr>
        <w:tab/>
      </w:r>
      <w:r w:rsidRPr="00F96267">
        <w:rPr>
          <w:rFonts w:asciiTheme="minorHAnsi" w:hAnsiTheme="minorHAnsi" w:cs="Arial"/>
          <w:sz w:val="24"/>
          <w:szCs w:val="24"/>
          <w:lang w:val="es-ES"/>
        </w:rPr>
        <w:tab/>
      </w:r>
      <w:r w:rsidRPr="00F96267">
        <w:rPr>
          <w:rFonts w:asciiTheme="minorHAnsi" w:hAnsiTheme="minorHAnsi" w:cs="Arial"/>
          <w:sz w:val="24"/>
          <w:szCs w:val="24"/>
          <w:lang w:val="es-ES"/>
        </w:rPr>
        <w:tab/>
      </w:r>
      <w:r w:rsidRPr="00F96267">
        <w:rPr>
          <w:rFonts w:asciiTheme="minorHAnsi" w:hAnsiTheme="minorHAnsi" w:cs="Arial"/>
          <w:sz w:val="24"/>
          <w:szCs w:val="24"/>
          <w:lang w:val="es-ES"/>
        </w:rPr>
        <w:tab/>
        <w:t>Nina Gustmann</w:t>
      </w:r>
    </w:p>
    <w:p w14:paraId="0F794B01" w14:textId="77777777" w:rsidR="00F96267" w:rsidRPr="00DD1A43" w:rsidRDefault="00F96267" w:rsidP="00F96267">
      <w:pPr>
        <w:pStyle w:val="NoSpacing"/>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3B3F3157" w14:textId="77777777" w:rsidR="00F96267" w:rsidRPr="00DD1A43" w:rsidRDefault="00F96267" w:rsidP="00F96267">
      <w:pPr>
        <w:pStyle w:val="NoSpacing"/>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0254B77E" w14:textId="77777777" w:rsidR="00F96267" w:rsidRPr="00DD1A43" w:rsidRDefault="00F96267" w:rsidP="00F96267">
      <w:pPr>
        <w:pStyle w:val="NoSpacing"/>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07100AEF" w14:textId="77777777" w:rsidR="00F96267" w:rsidRPr="00BC7EB3" w:rsidRDefault="00F96267" w:rsidP="00F96267">
      <w:pPr>
        <w:pStyle w:val="NoSpacing"/>
        <w:rPr>
          <w:rFonts w:asciiTheme="minorHAnsi" w:hAnsiTheme="minorHAnsi" w:cs="Arial"/>
          <w:sz w:val="24"/>
          <w:szCs w:val="24"/>
        </w:rPr>
      </w:pPr>
      <w:r w:rsidRPr="00BC7EB3">
        <w:rPr>
          <w:rFonts w:asciiTheme="minorHAnsi" w:hAnsiTheme="minorHAnsi" w:cs="Arial"/>
          <w:sz w:val="24"/>
          <w:szCs w:val="24"/>
        </w:rPr>
        <w:t xml:space="preserve">Email: </w:t>
      </w:r>
      <w:hyperlink r:id="rId14" w:history="1">
        <w:r w:rsidRPr="00BC7EB3">
          <w:rPr>
            <w:rStyle w:val="Hyperlink"/>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5" w:history="1">
        <w:r w:rsidRPr="00BC7EB3">
          <w:rPr>
            <w:rStyle w:val="Hyperlink"/>
            <w:rFonts w:asciiTheme="minorHAnsi" w:hAnsiTheme="minorHAnsi" w:cs="Arial"/>
            <w:sz w:val="24"/>
            <w:szCs w:val="24"/>
          </w:rPr>
          <w:t>Nina.Gustmann@tomra.com</w:t>
        </w:r>
      </w:hyperlink>
      <w:r w:rsidRPr="00BC7EB3">
        <w:rPr>
          <w:rFonts w:asciiTheme="minorHAnsi" w:hAnsiTheme="minorHAnsi" w:cs="Arial"/>
          <w:sz w:val="24"/>
          <w:szCs w:val="24"/>
        </w:rPr>
        <w:tab/>
      </w:r>
    </w:p>
    <w:p w14:paraId="7AA2D54A" w14:textId="3C0715BD" w:rsidR="00F96267" w:rsidRPr="0086002A" w:rsidRDefault="00F96267" w:rsidP="00F96267">
      <w:pPr>
        <w:pStyle w:val="NoSpacing"/>
        <w:rPr>
          <w:rFonts w:cs="Arial"/>
          <w:color w:val="0000FF"/>
          <w:u w:val="single"/>
        </w:rPr>
      </w:pPr>
      <w:r w:rsidRPr="00BC7EB3">
        <w:rPr>
          <w:rFonts w:asciiTheme="minorHAnsi" w:hAnsiTheme="minorHAnsi" w:cs="Arial"/>
          <w:sz w:val="24"/>
          <w:szCs w:val="24"/>
        </w:rPr>
        <w:t xml:space="preserve">Web: </w:t>
      </w:r>
      <w:hyperlink r:id="rId16" w:history="1">
        <w:r w:rsidRPr="00BC7EB3">
          <w:rPr>
            <w:rStyle w:val="Hyperlink"/>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7" w:history="1">
        <w:r w:rsidRPr="00F96267">
          <w:rPr>
            <w:rStyle w:val="Hyperlink"/>
            <w:rFonts w:asciiTheme="minorHAnsi" w:hAnsiTheme="minorHAnsi" w:cs="Arial"/>
            <w:sz w:val="24"/>
            <w:szCs w:val="24"/>
          </w:rPr>
          <w:t>www.tomra.com/mining</w:t>
        </w:r>
      </w:hyperlink>
    </w:p>
    <w:sectPr w:rsidR="00F96267" w:rsidRPr="0086002A"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3703" w16cex:dateUtc="2020-06-16T10:18:00Z"/>
  <w16cex:commentExtensible w16cex:durableId="229320EA" w16cex:dateUtc="2020-06-16T0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5FA7" w14:textId="77777777" w:rsidR="00061207" w:rsidRDefault="00061207" w:rsidP="00E20A09">
      <w:pPr>
        <w:spacing w:after="0" w:line="240" w:lineRule="auto"/>
      </w:pPr>
      <w:r>
        <w:separator/>
      </w:r>
    </w:p>
  </w:endnote>
  <w:endnote w:type="continuationSeparator" w:id="0">
    <w:p w14:paraId="6BFD91A9" w14:textId="77777777" w:rsidR="00061207" w:rsidRDefault="00061207"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2563BF05" w:rsidR="002B777C" w:rsidRDefault="002B77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09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9CE">
              <w:rPr>
                <w:b/>
                <w:bCs/>
                <w:noProof/>
              </w:rPr>
              <w:t>3</w:t>
            </w:r>
            <w:r>
              <w:rPr>
                <w:b/>
                <w:bCs/>
                <w:sz w:val="24"/>
                <w:szCs w:val="24"/>
              </w:rPr>
              <w:fldChar w:fldCharType="end"/>
            </w:r>
          </w:p>
        </w:sdtContent>
      </w:sdt>
    </w:sdtContent>
  </w:sdt>
  <w:p w14:paraId="5BB46AB0" w14:textId="77777777" w:rsidR="002B777C" w:rsidRDefault="002B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8F66" w14:textId="77777777" w:rsidR="00061207" w:rsidRDefault="00061207" w:rsidP="00E20A09">
      <w:pPr>
        <w:spacing w:after="0" w:line="240" w:lineRule="auto"/>
      </w:pPr>
      <w:r>
        <w:separator/>
      </w:r>
    </w:p>
  </w:footnote>
  <w:footnote w:type="continuationSeparator" w:id="0">
    <w:p w14:paraId="5DAFA4C4" w14:textId="77777777" w:rsidR="00061207" w:rsidRDefault="00061207"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C192" w14:textId="57E5594B" w:rsidR="00C52AF1" w:rsidRDefault="00C52AF1">
    <w:pPr>
      <w:pStyle w:val="Header"/>
    </w:pPr>
    <w:r>
      <w:rPr>
        <w:noProof/>
        <w:lang w:val="es-ES" w:eastAsia="es-ES"/>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NoSpacing"/>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4601"/>
    <w:rsid w:val="00006B6B"/>
    <w:rsid w:val="00006C19"/>
    <w:rsid w:val="00007C95"/>
    <w:rsid w:val="00012748"/>
    <w:rsid w:val="00012805"/>
    <w:rsid w:val="00017A08"/>
    <w:rsid w:val="000249EE"/>
    <w:rsid w:val="00030738"/>
    <w:rsid w:val="0003409A"/>
    <w:rsid w:val="0003428B"/>
    <w:rsid w:val="00034E1A"/>
    <w:rsid w:val="00037CF9"/>
    <w:rsid w:val="00040C3B"/>
    <w:rsid w:val="00041302"/>
    <w:rsid w:val="000454A3"/>
    <w:rsid w:val="00050A13"/>
    <w:rsid w:val="00052661"/>
    <w:rsid w:val="0005408F"/>
    <w:rsid w:val="00061207"/>
    <w:rsid w:val="0006133B"/>
    <w:rsid w:val="00062FF0"/>
    <w:rsid w:val="00063703"/>
    <w:rsid w:val="000641FA"/>
    <w:rsid w:val="00066912"/>
    <w:rsid w:val="00066AC0"/>
    <w:rsid w:val="0007144F"/>
    <w:rsid w:val="0007307B"/>
    <w:rsid w:val="000825A1"/>
    <w:rsid w:val="000845EB"/>
    <w:rsid w:val="00086B74"/>
    <w:rsid w:val="00086D82"/>
    <w:rsid w:val="00086D96"/>
    <w:rsid w:val="0009096A"/>
    <w:rsid w:val="000935CE"/>
    <w:rsid w:val="0009381A"/>
    <w:rsid w:val="00093C9E"/>
    <w:rsid w:val="0009522A"/>
    <w:rsid w:val="000A3BBC"/>
    <w:rsid w:val="000A422B"/>
    <w:rsid w:val="000A6478"/>
    <w:rsid w:val="000A79B1"/>
    <w:rsid w:val="000B0C13"/>
    <w:rsid w:val="000B2381"/>
    <w:rsid w:val="000B4B0E"/>
    <w:rsid w:val="000C2CF1"/>
    <w:rsid w:val="000C4851"/>
    <w:rsid w:val="000C7C2E"/>
    <w:rsid w:val="000D0B4D"/>
    <w:rsid w:val="000D29DE"/>
    <w:rsid w:val="000D56B0"/>
    <w:rsid w:val="000D6B92"/>
    <w:rsid w:val="000D7191"/>
    <w:rsid w:val="000E2045"/>
    <w:rsid w:val="000E2C8C"/>
    <w:rsid w:val="000F0EA7"/>
    <w:rsid w:val="000F1D12"/>
    <w:rsid w:val="000F4A09"/>
    <w:rsid w:val="000F7146"/>
    <w:rsid w:val="00100FDC"/>
    <w:rsid w:val="00102DA5"/>
    <w:rsid w:val="001033C6"/>
    <w:rsid w:val="00103C7C"/>
    <w:rsid w:val="00120A78"/>
    <w:rsid w:val="00122384"/>
    <w:rsid w:val="00123D4B"/>
    <w:rsid w:val="00124003"/>
    <w:rsid w:val="00124884"/>
    <w:rsid w:val="00125503"/>
    <w:rsid w:val="001260D6"/>
    <w:rsid w:val="001264CB"/>
    <w:rsid w:val="001344D8"/>
    <w:rsid w:val="0013549E"/>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3956"/>
    <w:rsid w:val="001A434A"/>
    <w:rsid w:val="001A4A8E"/>
    <w:rsid w:val="001A58D0"/>
    <w:rsid w:val="001A7D65"/>
    <w:rsid w:val="001A7EB9"/>
    <w:rsid w:val="001B162E"/>
    <w:rsid w:val="001C009E"/>
    <w:rsid w:val="001C18BA"/>
    <w:rsid w:val="001C1BDA"/>
    <w:rsid w:val="001C5CAC"/>
    <w:rsid w:val="001D3742"/>
    <w:rsid w:val="001D396B"/>
    <w:rsid w:val="001D3FB2"/>
    <w:rsid w:val="001D613C"/>
    <w:rsid w:val="001E052A"/>
    <w:rsid w:val="001E2734"/>
    <w:rsid w:val="001F0472"/>
    <w:rsid w:val="001F193B"/>
    <w:rsid w:val="002051F0"/>
    <w:rsid w:val="00205C98"/>
    <w:rsid w:val="00207807"/>
    <w:rsid w:val="002150BD"/>
    <w:rsid w:val="0021780C"/>
    <w:rsid w:val="002250FF"/>
    <w:rsid w:val="002260C6"/>
    <w:rsid w:val="0023068A"/>
    <w:rsid w:val="002354A1"/>
    <w:rsid w:val="00243E27"/>
    <w:rsid w:val="0024588C"/>
    <w:rsid w:val="00245AE9"/>
    <w:rsid w:val="00245FA3"/>
    <w:rsid w:val="00247FFB"/>
    <w:rsid w:val="00252969"/>
    <w:rsid w:val="0025445B"/>
    <w:rsid w:val="0025707A"/>
    <w:rsid w:val="002573F1"/>
    <w:rsid w:val="00257834"/>
    <w:rsid w:val="00266753"/>
    <w:rsid w:val="00274999"/>
    <w:rsid w:val="00281A4F"/>
    <w:rsid w:val="00290DD4"/>
    <w:rsid w:val="0029499C"/>
    <w:rsid w:val="00294F77"/>
    <w:rsid w:val="002A04CE"/>
    <w:rsid w:val="002A461F"/>
    <w:rsid w:val="002A650A"/>
    <w:rsid w:val="002A67B2"/>
    <w:rsid w:val="002A6A4C"/>
    <w:rsid w:val="002A7462"/>
    <w:rsid w:val="002B0827"/>
    <w:rsid w:val="002B4490"/>
    <w:rsid w:val="002B777C"/>
    <w:rsid w:val="002C1884"/>
    <w:rsid w:val="002C1CE0"/>
    <w:rsid w:val="002C5D64"/>
    <w:rsid w:val="002C629D"/>
    <w:rsid w:val="002D0C67"/>
    <w:rsid w:val="002D53CD"/>
    <w:rsid w:val="002D617D"/>
    <w:rsid w:val="002E3BD8"/>
    <w:rsid w:val="002F14A9"/>
    <w:rsid w:val="002F4475"/>
    <w:rsid w:val="002F4975"/>
    <w:rsid w:val="002F536A"/>
    <w:rsid w:val="0030497D"/>
    <w:rsid w:val="00314B0F"/>
    <w:rsid w:val="0031698B"/>
    <w:rsid w:val="00325436"/>
    <w:rsid w:val="00325DC0"/>
    <w:rsid w:val="003269C2"/>
    <w:rsid w:val="00330E4A"/>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82E16"/>
    <w:rsid w:val="003847F5"/>
    <w:rsid w:val="00390C6D"/>
    <w:rsid w:val="0039526E"/>
    <w:rsid w:val="00397EF9"/>
    <w:rsid w:val="003A3BDC"/>
    <w:rsid w:val="003B1348"/>
    <w:rsid w:val="003B1ADE"/>
    <w:rsid w:val="003B2287"/>
    <w:rsid w:val="003B3A08"/>
    <w:rsid w:val="003B4F12"/>
    <w:rsid w:val="003B54F3"/>
    <w:rsid w:val="003B6924"/>
    <w:rsid w:val="003B7E27"/>
    <w:rsid w:val="003C3558"/>
    <w:rsid w:val="003C464A"/>
    <w:rsid w:val="003E19F6"/>
    <w:rsid w:val="003E1E9A"/>
    <w:rsid w:val="003E4AF0"/>
    <w:rsid w:val="003E4F79"/>
    <w:rsid w:val="003E61D0"/>
    <w:rsid w:val="003E653E"/>
    <w:rsid w:val="003F1E48"/>
    <w:rsid w:val="003F40AE"/>
    <w:rsid w:val="003F42CB"/>
    <w:rsid w:val="003F7CD1"/>
    <w:rsid w:val="004009E5"/>
    <w:rsid w:val="00401F1F"/>
    <w:rsid w:val="0041234D"/>
    <w:rsid w:val="0041297D"/>
    <w:rsid w:val="004139A1"/>
    <w:rsid w:val="00413C78"/>
    <w:rsid w:val="00414881"/>
    <w:rsid w:val="00414F60"/>
    <w:rsid w:val="00421974"/>
    <w:rsid w:val="00422BD7"/>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60F2"/>
    <w:rsid w:val="00490B91"/>
    <w:rsid w:val="004931FF"/>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3468"/>
    <w:rsid w:val="00517916"/>
    <w:rsid w:val="005243AB"/>
    <w:rsid w:val="005247C7"/>
    <w:rsid w:val="00526F17"/>
    <w:rsid w:val="005270CE"/>
    <w:rsid w:val="00532144"/>
    <w:rsid w:val="00545224"/>
    <w:rsid w:val="00547CAD"/>
    <w:rsid w:val="00551946"/>
    <w:rsid w:val="005530B9"/>
    <w:rsid w:val="00553A0D"/>
    <w:rsid w:val="00560918"/>
    <w:rsid w:val="0056103F"/>
    <w:rsid w:val="00561283"/>
    <w:rsid w:val="00561E08"/>
    <w:rsid w:val="00564CA0"/>
    <w:rsid w:val="005705C0"/>
    <w:rsid w:val="00573B4F"/>
    <w:rsid w:val="00573B5C"/>
    <w:rsid w:val="00574031"/>
    <w:rsid w:val="00575EA2"/>
    <w:rsid w:val="00575EEB"/>
    <w:rsid w:val="0057700A"/>
    <w:rsid w:val="0058376E"/>
    <w:rsid w:val="0058746C"/>
    <w:rsid w:val="00590AF5"/>
    <w:rsid w:val="00591B47"/>
    <w:rsid w:val="005A32E4"/>
    <w:rsid w:val="005B0797"/>
    <w:rsid w:val="005B1197"/>
    <w:rsid w:val="005B7A9C"/>
    <w:rsid w:val="005C01FE"/>
    <w:rsid w:val="005C2179"/>
    <w:rsid w:val="005C29C5"/>
    <w:rsid w:val="005C2B90"/>
    <w:rsid w:val="005C3F9C"/>
    <w:rsid w:val="005C7AD9"/>
    <w:rsid w:val="005D3FD1"/>
    <w:rsid w:val="005D4D8E"/>
    <w:rsid w:val="005D5E4B"/>
    <w:rsid w:val="005D6F21"/>
    <w:rsid w:val="005E6E0A"/>
    <w:rsid w:val="005E7C54"/>
    <w:rsid w:val="005F0434"/>
    <w:rsid w:val="005F0AFB"/>
    <w:rsid w:val="005F1B79"/>
    <w:rsid w:val="005F5ED3"/>
    <w:rsid w:val="005F6CDF"/>
    <w:rsid w:val="005F730E"/>
    <w:rsid w:val="006013EA"/>
    <w:rsid w:val="006038CC"/>
    <w:rsid w:val="00605940"/>
    <w:rsid w:val="00614B02"/>
    <w:rsid w:val="00615B15"/>
    <w:rsid w:val="0062454E"/>
    <w:rsid w:val="00624F10"/>
    <w:rsid w:val="00632AD7"/>
    <w:rsid w:val="006478B2"/>
    <w:rsid w:val="00651D64"/>
    <w:rsid w:val="00660933"/>
    <w:rsid w:val="00660AB7"/>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105F"/>
    <w:rsid w:val="006D255F"/>
    <w:rsid w:val="006D6717"/>
    <w:rsid w:val="006D7F9E"/>
    <w:rsid w:val="006F0E70"/>
    <w:rsid w:val="006F11C1"/>
    <w:rsid w:val="006F154C"/>
    <w:rsid w:val="006F15C0"/>
    <w:rsid w:val="006F3B92"/>
    <w:rsid w:val="007009CE"/>
    <w:rsid w:val="00701B3D"/>
    <w:rsid w:val="00703996"/>
    <w:rsid w:val="00703C9A"/>
    <w:rsid w:val="007076E3"/>
    <w:rsid w:val="007124D9"/>
    <w:rsid w:val="0071749E"/>
    <w:rsid w:val="00720986"/>
    <w:rsid w:val="00720BEF"/>
    <w:rsid w:val="00723FAA"/>
    <w:rsid w:val="00740527"/>
    <w:rsid w:val="007424AE"/>
    <w:rsid w:val="00747D56"/>
    <w:rsid w:val="00751993"/>
    <w:rsid w:val="0075216B"/>
    <w:rsid w:val="00753A52"/>
    <w:rsid w:val="0075700C"/>
    <w:rsid w:val="0076126F"/>
    <w:rsid w:val="00761799"/>
    <w:rsid w:val="007632E2"/>
    <w:rsid w:val="00763A98"/>
    <w:rsid w:val="0076537E"/>
    <w:rsid w:val="00767188"/>
    <w:rsid w:val="007675B1"/>
    <w:rsid w:val="00770F3F"/>
    <w:rsid w:val="00771D12"/>
    <w:rsid w:val="00785629"/>
    <w:rsid w:val="007A5B17"/>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189"/>
    <w:rsid w:val="007F0C0F"/>
    <w:rsid w:val="007F111F"/>
    <w:rsid w:val="007F36A7"/>
    <w:rsid w:val="00802D13"/>
    <w:rsid w:val="008043E0"/>
    <w:rsid w:val="00806835"/>
    <w:rsid w:val="00813DAE"/>
    <w:rsid w:val="0081541D"/>
    <w:rsid w:val="008163C6"/>
    <w:rsid w:val="008165D7"/>
    <w:rsid w:val="0082035D"/>
    <w:rsid w:val="00820481"/>
    <w:rsid w:val="00821804"/>
    <w:rsid w:val="008255AC"/>
    <w:rsid w:val="00826B21"/>
    <w:rsid w:val="008270FE"/>
    <w:rsid w:val="00827CDB"/>
    <w:rsid w:val="00833A0F"/>
    <w:rsid w:val="00834ADC"/>
    <w:rsid w:val="00835BBA"/>
    <w:rsid w:val="00837DAE"/>
    <w:rsid w:val="00845317"/>
    <w:rsid w:val="00846986"/>
    <w:rsid w:val="00846A8D"/>
    <w:rsid w:val="0085020C"/>
    <w:rsid w:val="008512F8"/>
    <w:rsid w:val="00851E9B"/>
    <w:rsid w:val="008526F5"/>
    <w:rsid w:val="00855DB5"/>
    <w:rsid w:val="0086002A"/>
    <w:rsid w:val="008609F7"/>
    <w:rsid w:val="00860A86"/>
    <w:rsid w:val="008669D6"/>
    <w:rsid w:val="00871B1B"/>
    <w:rsid w:val="00871F0F"/>
    <w:rsid w:val="00883903"/>
    <w:rsid w:val="0088421D"/>
    <w:rsid w:val="00884750"/>
    <w:rsid w:val="00886540"/>
    <w:rsid w:val="00890848"/>
    <w:rsid w:val="00893EB2"/>
    <w:rsid w:val="008943C4"/>
    <w:rsid w:val="008A20DB"/>
    <w:rsid w:val="008A5522"/>
    <w:rsid w:val="008A5BBA"/>
    <w:rsid w:val="008A775F"/>
    <w:rsid w:val="008B273A"/>
    <w:rsid w:val="008B60F1"/>
    <w:rsid w:val="008B621D"/>
    <w:rsid w:val="008B6F88"/>
    <w:rsid w:val="008C017A"/>
    <w:rsid w:val="008C0FE3"/>
    <w:rsid w:val="008C2027"/>
    <w:rsid w:val="008C5C08"/>
    <w:rsid w:val="008C729E"/>
    <w:rsid w:val="008D2751"/>
    <w:rsid w:val="008D526F"/>
    <w:rsid w:val="008E01D1"/>
    <w:rsid w:val="008E085D"/>
    <w:rsid w:val="008E128D"/>
    <w:rsid w:val="008E27EB"/>
    <w:rsid w:val="008E5F67"/>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27EF"/>
    <w:rsid w:val="00967B32"/>
    <w:rsid w:val="00970319"/>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B517E"/>
    <w:rsid w:val="009B51D1"/>
    <w:rsid w:val="009B7D0B"/>
    <w:rsid w:val="009C037C"/>
    <w:rsid w:val="009C4346"/>
    <w:rsid w:val="009C6951"/>
    <w:rsid w:val="009D59B9"/>
    <w:rsid w:val="009D65BA"/>
    <w:rsid w:val="009E08DE"/>
    <w:rsid w:val="009E18CF"/>
    <w:rsid w:val="009F1486"/>
    <w:rsid w:val="009F2B31"/>
    <w:rsid w:val="009F2CD7"/>
    <w:rsid w:val="00A02B47"/>
    <w:rsid w:val="00A11BC8"/>
    <w:rsid w:val="00A2319A"/>
    <w:rsid w:val="00A256B5"/>
    <w:rsid w:val="00A26D60"/>
    <w:rsid w:val="00A27280"/>
    <w:rsid w:val="00A30842"/>
    <w:rsid w:val="00A3087F"/>
    <w:rsid w:val="00A33A70"/>
    <w:rsid w:val="00A45DDD"/>
    <w:rsid w:val="00A465BE"/>
    <w:rsid w:val="00A50709"/>
    <w:rsid w:val="00A520E3"/>
    <w:rsid w:val="00A532EA"/>
    <w:rsid w:val="00A573E9"/>
    <w:rsid w:val="00A578A4"/>
    <w:rsid w:val="00A70F7E"/>
    <w:rsid w:val="00A76859"/>
    <w:rsid w:val="00A82820"/>
    <w:rsid w:val="00A83BE4"/>
    <w:rsid w:val="00A9191A"/>
    <w:rsid w:val="00A92C31"/>
    <w:rsid w:val="00A95AFD"/>
    <w:rsid w:val="00AA029C"/>
    <w:rsid w:val="00AA10A2"/>
    <w:rsid w:val="00AA13C5"/>
    <w:rsid w:val="00AA1B87"/>
    <w:rsid w:val="00AA43E7"/>
    <w:rsid w:val="00AA4852"/>
    <w:rsid w:val="00AA4F89"/>
    <w:rsid w:val="00AB7B0E"/>
    <w:rsid w:val="00AC3FF2"/>
    <w:rsid w:val="00AC423D"/>
    <w:rsid w:val="00AC663B"/>
    <w:rsid w:val="00AD7565"/>
    <w:rsid w:val="00AE1B2C"/>
    <w:rsid w:val="00AE3603"/>
    <w:rsid w:val="00AE60CE"/>
    <w:rsid w:val="00AF1EA6"/>
    <w:rsid w:val="00AF2D97"/>
    <w:rsid w:val="00AF2EA5"/>
    <w:rsid w:val="00AF3D7E"/>
    <w:rsid w:val="00AF55E4"/>
    <w:rsid w:val="00B008F5"/>
    <w:rsid w:val="00B01476"/>
    <w:rsid w:val="00B04275"/>
    <w:rsid w:val="00B06E41"/>
    <w:rsid w:val="00B15E8A"/>
    <w:rsid w:val="00B201A7"/>
    <w:rsid w:val="00B264C4"/>
    <w:rsid w:val="00B274F7"/>
    <w:rsid w:val="00B30BEA"/>
    <w:rsid w:val="00B36F15"/>
    <w:rsid w:val="00B37AF8"/>
    <w:rsid w:val="00B45A3D"/>
    <w:rsid w:val="00B47838"/>
    <w:rsid w:val="00B509ED"/>
    <w:rsid w:val="00B52000"/>
    <w:rsid w:val="00B56398"/>
    <w:rsid w:val="00B56763"/>
    <w:rsid w:val="00B6070C"/>
    <w:rsid w:val="00B64FE9"/>
    <w:rsid w:val="00B74A9B"/>
    <w:rsid w:val="00B80AF3"/>
    <w:rsid w:val="00B86918"/>
    <w:rsid w:val="00B86CE3"/>
    <w:rsid w:val="00B87299"/>
    <w:rsid w:val="00B90FC0"/>
    <w:rsid w:val="00B94CEF"/>
    <w:rsid w:val="00B97EEE"/>
    <w:rsid w:val="00BA1533"/>
    <w:rsid w:val="00BA1F4B"/>
    <w:rsid w:val="00BA5BB3"/>
    <w:rsid w:val="00BA6202"/>
    <w:rsid w:val="00BA6BCD"/>
    <w:rsid w:val="00BA75EC"/>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3CB"/>
    <w:rsid w:val="00BE7815"/>
    <w:rsid w:val="00BF1B24"/>
    <w:rsid w:val="00BF5E91"/>
    <w:rsid w:val="00BF7353"/>
    <w:rsid w:val="00C12689"/>
    <w:rsid w:val="00C14241"/>
    <w:rsid w:val="00C1550F"/>
    <w:rsid w:val="00C176AB"/>
    <w:rsid w:val="00C21D7C"/>
    <w:rsid w:val="00C223C8"/>
    <w:rsid w:val="00C24577"/>
    <w:rsid w:val="00C24B4A"/>
    <w:rsid w:val="00C25CD6"/>
    <w:rsid w:val="00C25F41"/>
    <w:rsid w:val="00C30BAF"/>
    <w:rsid w:val="00C3111C"/>
    <w:rsid w:val="00C317A4"/>
    <w:rsid w:val="00C31838"/>
    <w:rsid w:val="00C35247"/>
    <w:rsid w:val="00C3564F"/>
    <w:rsid w:val="00C40003"/>
    <w:rsid w:val="00C44189"/>
    <w:rsid w:val="00C462C4"/>
    <w:rsid w:val="00C50A20"/>
    <w:rsid w:val="00C519AB"/>
    <w:rsid w:val="00C52AF1"/>
    <w:rsid w:val="00C53884"/>
    <w:rsid w:val="00C57A75"/>
    <w:rsid w:val="00C60E63"/>
    <w:rsid w:val="00C6326E"/>
    <w:rsid w:val="00C7567C"/>
    <w:rsid w:val="00C7788E"/>
    <w:rsid w:val="00C810B4"/>
    <w:rsid w:val="00C842C5"/>
    <w:rsid w:val="00C85527"/>
    <w:rsid w:val="00C86AEB"/>
    <w:rsid w:val="00C918CD"/>
    <w:rsid w:val="00C93989"/>
    <w:rsid w:val="00C939F1"/>
    <w:rsid w:val="00C97F32"/>
    <w:rsid w:val="00CA0A45"/>
    <w:rsid w:val="00CA0E2A"/>
    <w:rsid w:val="00CA18AC"/>
    <w:rsid w:val="00CA6CE8"/>
    <w:rsid w:val="00CB09A3"/>
    <w:rsid w:val="00CB1E2E"/>
    <w:rsid w:val="00CB22CC"/>
    <w:rsid w:val="00CB3180"/>
    <w:rsid w:val="00CC1D7B"/>
    <w:rsid w:val="00CC1ECC"/>
    <w:rsid w:val="00CC42A3"/>
    <w:rsid w:val="00CC767F"/>
    <w:rsid w:val="00CD24D8"/>
    <w:rsid w:val="00CD2AA4"/>
    <w:rsid w:val="00CD3FB2"/>
    <w:rsid w:val="00CD6083"/>
    <w:rsid w:val="00CE1D86"/>
    <w:rsid w:val="00CE5BF6"/>
    <w:rsid w:val="00CE6B5B"/>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3AEE"/>
    <w:rsid w:val="00D44B87"/>
    <w:rsid w:val="00D53D33"/>
    <w:rsid w:val="00D5543A"/>
    <w:rsid w:val="00D56197"/>
    <w:rsid w:val="00D601AF"/>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47BD"/>
    <w:rsid w:val="00E26619"/>
    <w:rsid w:val="00E269A0"/>
    <w:rsid w:val="00E27B17"/>
    <w:rsid w:val="00E3119F"/>
    <w:rsid w:val="00E3124E"/>
    <w:rsid w:val="00E33ED1"/>
    <w:rsid w:val="00E34355"/>
    <w:rsid w:val="00E34B75"/>
    <w:rsid w:val="00E35F43"/>
    <w:rsid w:val="00E41790"/>
    <w:rsid w:val="00E41EBA"/>
    <w:rsid w:val="00E43DCA"/>
    <w:rsid w:val="00E45D71"/>
    <w:rsid w:val="00E512CB"/>
    <w:rsid w:val="00E62A4C"/>
    <w:rsid w:val="00E635F5"/>
    <w:rsid w:val="00E63AF6"/>
    <w:rsid w:val="00E66321"/>
    <w:rsid w:val="00E664A3"/>
    <w:rsid w:val="00E73B66"/>
    <w:rsid w:val="00E75C6D"/>
    <w:rsid w:val="00E825C8"/>
    <w:rsid w:val="00E83643"/>
    <w:rsid w:val="00E87D0E"/>
    <w:rsid w:val="00E91430"/>
    <w:rsid w:val="00E97852"/>
    <w:rsid w:val="00EA2962"/>
    <w:rsid w:val="00EA466F"/>
    <w:rsid w:val="00EA56F4"/>
    <w:rsid w:val="00EA6FE6"/>
    <w:rsid w:val="00EB139B"/>
    <w:rsid w:val="00EB1580"/>
    <w:rsid w:val="00EC5B40"/>
    <w:rsid w:val="00EC5C43"/>
    <w:rsid w:val="00ED5D09"/>
    <w:rsid w:val="00ED5EE0"/>
    <w:rsid w:val="00ED6AB7"/>
    <w:rsid w:val="00ED6DA3"/>
    <w:rsid w:val="00EE15ED"/>
    <w:rsid w:val="00EE604B"/>
    <w:rsid w:val="00EF1A8A"/>
    <w:rsid w:val="00EF4490"/>
    <w:rsid w:val="00EF5943"/>
    <w:rsid w:val="00F04CB6"/>
    <w:rsid w:val="00F0507A"/>
    <w:rsid w:val="00F05EC7"/>
    <w:rsid w:val="00F062E7"/>
    <w:rsid w:val="00F12066"/>
    <w:rsid w:val="00F13724"/>
    <w:rsid w:val="00F20A32"/>
    <w:rsid w:val="00F21075"/>
    <w:rsid w:val="00F25E88"/>
    <w:rsid w:val="00F31A44"/>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D94"/>
    <w:rsid w:val="00F64A86"/>
    <w:rsid w:val="00F64C28"/>
    <w:rsid w:val="00F73FE4"/>
    <w:rsid w:val="00F77C29"/>
    <w:rsid w:val="00F825DE"/>
    <w:rsid w:val="00F843C8"/>
    <w:rsid w:val="00F87B3D"/>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DC6"/>
    <w:rsid w:val="00FC667F"/>
    <w:rsid w:val="00FD0C19"/>
    <w:rsid w:val="00FD2CC9"/>
    <w:rsid w:val="00FD7891"/>
    <w:rsid w:val="00FD7F8E"/>
    <w:rsid w:val="00FE02BC"/>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1A21"/>
  <w15:docId w15:val="{8D7CAF61-25DD-4D0A-92DA-0FB251D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BalloonText">
    <w:name w:val="Balloon Text"/>
    <w:basedOn w:val="Normal"/>
    <w:link w:val="BalloonTextChar"/>
    <w:uiPriority w:val="99"/>
    <w:semiHidden/>
    <w:unhideWhenUsed/>
    <w:rsid w:val="006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C0"/>
    <w:rPr>
      <w:rFonts w:ascii="Tahoma" w:hAnsi="Tahoma" w:cs="Tahoma"/>
      <w:sz w:val="16"/>
      <w:szCs w:val="16"/>
    </w:rPr>
  </w:style>
  <w:style w:type="character" w:styleId="CommentReference">
    <w:name w:val="annotation reference"/>
    <w:basedOn w:val="DefaultParagraphFont"/>
    <w:uiPriority w:val="99"/>
    <w:semiHidden/>
    <w:unhideWhenUsed/>
    <w:rsid w:val="0039526E"/>
    <w:rPr>
      <w:sz w:val="16"/>
      <w:szCs w:val="16"/>
    </w:rPr>
  </w:style>
  <w:style w:type="paragraph" w:styleId="CommentText">
    <w:name w:val="annotation text"/>
    <w:basedOn w:val="Normal"/>
    <w:link w:val="CommentTextChar"/>
    <w:uiPriority w:val="99"/>
    <w:semiHidden/>
    <w:unhideWhenUsed/>
    <w:rsid w:val="0039526E"/>
    <w:pPr>
      <w:spacing w:line="240" w:lineRule="auto"/>
    </w:pPr>
    <w:rPr>
      <w:sz w:val="20"/>
      <w:szCs w:val="20"/>
    </w:rPr>
  </w:style>
  <w:style w:type="character" w:customStyle="1" w:styleId="CommentTextChar">
    <w:name w:val="Comment Text Char"/>
    <w:basedOn w:val="DefaultParagraphFont"/>
    <w:link w:val="CommentText"/>
    <w:uiPriority w:val="99"/>
    <w:semiHidden/>
    <w:rsid w:val="0039526E"/>
    <w:rPr>
      <w:sz w:val="20"/>
      <w:szCs w:val="20"/>
    </w:rPr>
  </w:style>
  <w:style w:type="paragraph" w:styleId="CommentSubject">
    <w:name w:val="annotation subject"/>
    <w:basedOn w:val="CommentText"/>
    <w:next w:val="CommentText"/>
    <w:link w:val="CommentSubjectChar"/>
    <w:uiPriority w:val="99"/>
    <w:semiHidden/>
    <w:unhideWhenUsed/>
    <w:rsid w:val="0039526E"/>
    <w:rPr>
      <w:b/>
      <w:bCs/>
    </w:rPr>
  </w:style>
  <w:style w:type="character" w:customStyle="1" w:styleId="CommentSubjectChar">
    <w:name w:val="Comment Subject Char"/>
    <w:basedOn w:val="CommentTextChar"/>
    <w:link w:val="CommentSubject"/>
    <w:uiPriority w:val="99"/>
    <w:semiHidden/>
    <w:rsid w:val="0039526E"/>
    <w:rPr>
      <w:b/>
      <w:bCs/>
      <w:sz w:val="20"/>
      <w:szCs w:val="20"/>
    </w:rPr>
  </w:style>
  <w:style w:type="paragraph" w:styleId="Header">
    <w:name w:val="header"/>
    <w:basedOn w:val="Normal"/>
    <w:link w:val="HeaderChar"/>
    <w:uiPriority w:val="99"/>
    <w:unhideWhenUsed/>
    <w:rsid w:val="00E20A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0A09"/>
  </w:style>
  <w:style w:type="paragraph" w:styleId="Footer">
    <w:name w:val="footer"/>
    <w:basedOn w:val="Normal"/>
    <w:link w:val="FooterChar"/>
    <w:uiPriority w:val="99"/>
    <w:unhideWhenUsed/>
    <w:rsid w:val="00E20A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0A09"/>
  </w:style>
  <w:style w:type="paragraph" w:styleId="NoSpacing">
    <w:name w:val="No Spacing"/>
    <w:qFormat/>
    <w:rsid w:val="00E20A09"/>
    <w:pPr>
      <w:spacing w:after="0" w:line="240" w:lineRule="auto"/>
    </w:pPr>
    <w:rPr>
      <w:rFonts w:ascii="Calibri" w:eastAsia="Calibri" w:hAnsi="Calibri" w:cs="Times New Roman"/>
      <w:lang w:val="en-GB"/>
    </w:rPr>
  </w:style>
  <w:style w:type="character" w:styleId="Strong">
    <w:name w:val="Strong"/>
    <w:uiPriority w:val="22"/>
    <w:qFormat/>
    <w:rsid w:val="00E20A09"/>
    <w:rPr>
      <w:b/>
      <w:bCs/>
    </w:rPr>
  </w:style>
  <w:style w:type="paragraph" w:styleId="ListParagraph">
    <w:name w:val="List Paragraph"/>
    <w:basedOn w:val="Normal"/>
    <w:uiPriority w:val="34"/>
    <w:qFormat/>
    <w:rsid w:val="00B201A7"/>
    <w:pPr>
      <w:ind w:left="720"/>
      <w:contextualSpacing/>
    </w:pPr>
  </w:style>
  <w:style w:type="character" w:styleId="FollowedHyperlink">
    <w:name w:val="FollowedHyperlink"/>
    <w:basedOn w:val="DefaultParagraphFont"/>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DefaultParagraphFont"/>
    <w:uiPriority w:val="99"/>
    <w:semiHidden/>
    <w:unhideWhenUsed/>
    <w:rsid w:val="00C842C5"/>
    <w:rPr>
      <w:color w:val="2B579A"/>
      <w:shd w:val="clear" w:color="auto" w:fill="E6E6E6"/>
    </w:rPr>
  </w:style>
  <w:style w:type="character" w:customStyle="1" w:styleId="apple-converted-space">
    <w:name w:val="apple-converted-space"/>
    <w:basedOn w:val="DefaultParagraphFont"/>
    <w:rsid w:val="007C3659"/>
  </w:style>
  <w:style w:type="character" w:customStyle="1" w:styleId="MenoNoResolvida1">
    <w:name w:val="Menção Não Resolvida1"/>
    <w:basedOn w:val="DefaultParagraphFont"/>
    <w:uiPriority w:val="99"/>
    <w:semiHidden/>
    <w:unhideWhenUsed/>
    <w:rsid w:val="00802D13"/>
    <w:rPr>
      <w:color w:val="808080"/>
      <w:shd w:val="clear" w:color="auto" w:fill="E6E6E6"/>
    </w:rPr>
  </w:style>
  <w:style w:type="paragraph" w:styleId="Revision">
    <w:name w:val="Revision"/>
    <w:hidden/>
    <w:uiPriority w:val="99"/>
    <w:semiHidden/>
    <w:rsid w:val="00F04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africarenewal/news/how-can-mining-contribute-sustainable-development-goals" TargetMode="External"/><Relationship Id="rId13" Type="http://schemas.openxmlformats.org/officeDocument/2006/relationships/hyperlink" Target="https://www.facebook.com/TOMRA.Sorting.M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TOMRAMining" TargetMode="External"/><Relationship Id="rId17" Type="http://schemas.openxmlformats.org/officeDocument/2006/relationships/hyperlink" Target="http://www.tomra.com/mining"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alarconyhar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omra-sorting-mining/" TargetMode="External"/><Relationship Id="rId5" Type="http://schemas.openxmlformats.org/officeDocument/2006/relationships/webSettings" Target="webSettings.xml"/><Relationship Id="rId15" Type="http://schemas.openxmlformats.org/officeDocument/2006/relationships/hyperlink" Target="mailto:Nina.Gustmann@tomra.com" TargetMode="External"/><Relationship Id="rId10" Type="http://schemas.openxmlformats.org/officeDocument/2006/relationships/hyperlink" Target="http://www.tomra.com/m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mra.com" TargetMode="Externa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A32C-7656-6747-8CC9-0FD779D4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1345</Words>
  <Characters>7669</Characters>
  <Application>Microsoft Office Word</Application>
  <DocSecurity>0</DocSecurity>
  <Lines>63</Lines>
  <Paragraphs>17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Silvia Ortiz Nin</cp:lastModifiedBy>
  <cp:revision>3</cp:revision>
  <cp:lastPrinted>2020-06-16T08:22:00Z</cp:lastPrinted>
  <dcterms:created xsi:type="dcterms:W3CDTF">2020-06-17T08:21:00Z</dcterms:created>
  <dcterms:modified xsi:type="dcterms:W3CDTF">2020-06-17T08:45:00Z</dcterms:modified>
</cp:coreProperties>
</file>