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574E" w14:textId="77777777" w:rsidR="00A1721E" w:rsidRDefault="00A1721E" w:rsidP="00B617DE">
      <w:pPr>
        <w:jc w:val="both"/>
        <w:rPr>
          <w:rFonts w:cstheme="minorHAnsi"/>
        </w:rPr>
      </w:pPr>
    </w:p>
    <w:p w14:paraId="43E75806" w14:textId="54F47054" w:rsidR="001C3505" w:rsidRDefault="0037423D" w:rsidP="003D44C2">
      <w:pPr>
        <w:spacing w:after="200" w:line="276" w:lineRule="auto"/>
        <w:jc w:val="both"/>
        <w:rPr>
          <w:b/>
          <w:bCs/>
        </w:rPr>
      </w:pPr>
      <w:r w:rsidRPr="00435AD2">
        <w:rPr>
          <w:rFonts w:cstheme="minorHAnsi"/>
          <w:b/>
        </w:rPr>
        <w:t>FOR IMMEDIATE RELEASE</w:t>
      </w:r>
    </w:p>
    <w:p w14:paraId="06496F41" w14:textId="05575395" w:rsidR="00B25A3C" w:rsidRDefault="00975C2A" w:rsidP="00F2362E">
      <w:pPr>
        <w:rPr>
          <w:b/>
          <w:bCs/>
        </w:rPr>
      </w:pPr>
      <w:r>
        <w:rPr>
          <w:b/>
          <w:bCs/>
        </w:rPr>
        <w:t>TOMRA</w:t>
      </w:r>
      <w:r w:rsidR="00DB6E37">
        <w:rPr>
          <w:b/>
          <w:bCs/>
        </w:rPr>
        <w:t xml:space="preserve"> TO PRESENT </w:t>
      </w:r>
      <w:r>
        <w:rPr>
          <w:b/>
          <w:bCs/>
        </w:rPr>
        <w:t xml:space="preserve">TOMRA 3C </w:t>
      </w:r>
      <w:r w:rsidR="00DB6E37">
        <w:rPr>
          <w:b/>
          <w:bCs/>
        </w:rPr>
        <w:t>OPTICAL SORTER AT THE ALMOND CONFERENCE 2019:</w:t>
      </w:r>
      <w:r w:rsidR="008F362C">
        <w:rPr>
          <w:b/>
          <w:bCs/>
        </w:rPr>
        <w:t xml:space="preserve"> </w:t>
      </w:r>
      <w:r w:rsidR="00DC0E3F">
        <w:rPr>
          <w:b/>
          <w:bCs/>
        </w:rPr>
        <w:br/>
      </w:r>
      <w:r>
        <w:rPr>
          <w:b/>
          <w:bCs/>
        </w:rPr>
        <w:t xml:space="preserve">A </w:t>
      </w:r>
      <w:r w:rsidR="00DB6E37">
        <w:rPr>
          <w:b/>
          <w:bCs/>
        </w:rPr>
        <w:t>GROUND-BREAKING SOLUTION FOR THE HULLING AND SHELLING SECTOR</w:t>
      </w:r>
    </w:p>
    <w:p w14:paraId="5EA27E62" w14:textId="69C3093C" w:rsidR="002C3056" w:rsidRPr="002C3056" w:rsidRDefault="00DC0E3F" w:rsidP="00DB6E37">
      <w:pPr>
        <w:rPr>
          <w:rFonts w:ascii="Times New Roman" w:eastAsia="Times New Roman" w:hAnsi="Times New Roman" w:cs="Times New Roman"/>
          <w:sz w:val="24"/>
          <w:szCs w:val="24"/>
          <w:lang w:val="en-GB"/>
        </w:rPr>
      </w:pPr>
      <w:r>
        <w:rPr>
          <w:rFonts w:cstheme="minorHAnsi"/>
          <w:b/>
        </w:rPr>
        <w:t>Sacramento</w:t>
      </w:r>
      <w:r w:rsidR="00C662F8" w:rsidRPr="006D61C2">
        <w:rPr>
          <w:rFonts w:cstheme="minorHAnsi"/>
          <w:b/>
        </w:rPr>
        <w:t xml:space="preserve">, </w:t>
      </w:r>
      <w:r>
        <w:rPr>
          <w:rFonts w:cstheme="minorHAnsi"/>
          <w:b/>
        </w:rPr>
        <w:t>United States</w:t>
      </w:r>
      <w:r w:rsidR="00C662F8" w:rsidRPr="006D61C2">
        <w:rPr>
          <w:rFonts w:cstheme="minorHAnsi"/>
          <w:b/>
        </w:rPr>
        <w:t>,</w:t>
      </w:r>
      <w:r w:rsidR="003731CC" w:rsidRPr="006D61C2">
        <w:rPr>
          <w:rFonts w:cstheme="minorHAnsi"/>
          <w:b/>
        </w:rPr>
        <w:t xml:space="preserve"> </w:t>
      </w:r>
      <w:r w:rsidR="00052EF3">
        <w:rPr>
          <w:rFonts w:cstheme="minorHAnsi"/>
          <w:b/>
        </w:rPr>
        <w:t>21/11</w:t>
      </w:r>
      <w:r>
        <w:rPr>
          <w:rFonts w:cstheme="minorHAnsi"/>
          <w:b/>
        </w:rPr>
        <w:t>/2019</w:t>
      </w:r>
      <w:r w:rsidR="00C662F8" w:rsidRPr="006D61C2">
        <w:rPr>
          <w:rFonts w:cstheme="minorHAnsi"/>
          <w:b/>
        </w:rPr>
        <w:t xml:space="preserve"> </w:t>
      </w:r>
      <w:r w:rsidR="003731CC" w:rsidRPr="006D61C2">
        <w:rPr>
          <w:rFonts w:cstheme="minorHAnsi"/>
          <w:b/>
        </w:rPr>
        <w:t>–</w:t>
      </w:r>
      <w:r w:rsidR="0046714E">
        <w:t xml:space="preserve"> </w:t>
      </w:r>
      <w:r w:rsidR="0046714E" w:rsidRPr="00B25A3C">
        <w:rPr>
          <w:i/>
        </w:rPr>
        <w:t>TOMRA Food</w:t>
      </w:r>
      <w:r w:rsidR="0046714E">
        <w:t xml:space="preserve"> </w:t>
      </w:r>
      <w:r w:rsidR="00B25A3C">
        <w:rPr>
          <w:i/>
          <w:iCs/>
        </w:rPr>
        <w:t xml:space="preserve">will showcase its sensor-based sorting solutions at the Almond Conference 2019, which will take place from December 10-12 in Sacramento, California. It will demonstrate the TOMRA 3C, the new optical sorter which is set to be a game changer </w:t>
      </w:r>
      <w:r w:rsidR="00633B4F">
        <w:rPr>
          <w:i/>
          <w:iCs/>
        </w:rPr>
        <w:t>for almond</w:t>
      </w:r>
      <w:r w:rsidR="00B25A3C">
        <w:rPr>
          <w:i/>
          <w:iCs/>
        </w:rPr>
        <w:t xml:space="preserve"> hulling and shelling operations. TOMRA </w:t>
      </w:r>
      <w:r>
        <w:rPr>
          <w:i/>
          <w:iCs/>
        </w:rPr>
        <w:t xml:space="preserve">Food </w:t>
      </w:r>
      <w:r w:rsidR="00B25A3C">
        <w:rPr>
          <w:i/>
          <w:iCs/>
        </w:rPr>
        <w:t xml:space="preserve">will also highlight the benefits of its ground-breaking </w:t>
      </w:r>
      <w:r>
        <w:rPr>
          <w:i/>
          <w:iCs/>
        </w:rPr>
        <w:t xml:space="preserve">Detox </w:t>
      </w:r>
      <w:r w:rsidR="002B7137">
        <w:rPr>
          <w:i/>
          <w:iCs/>
        </w:rPr>
        <w:t>Laser</w:t>
      </w:r>
      <w:r w:rsidR="000F1C26">
        <w:rPr>
          <w:i/>
          <w:iCs/>
        </w:rPr>
        <w:t xml:space="preserve"> </w:t>
      </w:r>
      <w:r w:rsidR="00B25A3C">
        <w:rPr>
          <w:i/>
          <w:iCs/>
        </w:rPr>
        <w:t xml:space="preserve">technology, which is having excellent success across the world </w:t>
      </w:r>
      <w:r w:rsidR="002B7137">
        <w:rPr>
          <w:i/>
          <w:iCs/>
        </w:rPr>
        <w:t>with its accurate detection of aflatoxin contamination, and take part in the panel discussion “Sorting for Aflatoxin” on December 11.</w:t>
      </w:r>
    </w:p>
    <w:p w14:paraId="4C19200C" w14:textId="7D458D86" w:rsidR="00BC1D71" w:rsidRPr="00794F50" w:rsidRDefault="00794F50" w:rsidP="00DB6E37">
      <w:pPr>
        <w:rPr>
          <w:b/>
        </w:rPr>
      </w:pPr>
      <w:r>
        <w:rPr>
          <w:b/>
        </w:rPr>
        <w:t xml:space="preserve">TOMRA 3C: unique solution delivers results without equal in hulling, shelling, inshell and hash recovery </w:t>
      </w:r>
    </w:p>
    <w:p w14:paraId="2939F53E" w14:textId="77777777" w:rsidR="003B04F3" w:rsidRDefault="0055753D" w:rsidP="00DB6E37">
      <w:pPr>
        <w:rPr>
          <w:bCs/>
        </w:rPr>
      </w:pPr>
      <w:r>
        <w:rPr>
          <w:bCs/>
        </w:rPr>
        <w:t xml:space="preserve">The TOMRA 3C </w:t>
      </w:r>
      <w:r w:rsidR="00C87994">
        <w:rPr>
          <w:bCs/>
        </w:rPr>
        <w:t xml:space="preserve">offers a unique solution at the front of the processing line that delivers consistently very high quality inshell sort with extremely low false rejection rate, while maintaining a high throughput. </w:t>
      </w:r>
    </w:p>
    <w:p w14:paraId="4F321F46" w14:textId="4DCD098F" w:rsidR="003B04F3" w:rsidRDefault="003B04F3" w:rsidP="00DB6E37">
      <w:pPr>
        <w:rPr>
          <w:bCs/>
        </w:rPr>
      </w:pPr>
      <w:r>
        <w:rPr>
          <w:bCs/>
        </w:rPr>
        <w:t>“The TOMRA 3C is</w:t>
      </w:r>
      <w:r w:rsidR="00FF3BFB">
        <w:rPr>
          <w:bCs/>
        </w:rPr>
        <w:t xml:space="preserve"> equally valuable in cleaning product in the huller, h</w:t>
      </w:r>
      <w:r>
        <w:rPr>
          <w:bCs/>
        </w:rPr>
        <w:t xml:space="preserve">ash recovery and inshell,” explains Brendan O’Donnell, Global Category Director – Nuts </w:t>
      </w:r>
      <w:r w:rsidR="00DC0E3F">
        <w:rPr>
          <w:bCs/>
        </w:rPr>
        <w:t>at TOMRA Food</w:t>
      </w:r>
      <w:r>
        <w:rPr>
          <w:bCs/>
        </w:rPr>
        <w:t>. “T</w:t>
      </w:r>
      <w:r w:rsidR="00C87994">
        <w:rPr>
          <w:bCs/>
        </w:rPr>
        <w:t xml:space="preserve">his means hulling and shelling operations will be able to deliver </w:t>
      </w:r>
      <w:r w:rsidR="00D4403F">
        <w:rPr>
          <w:bCs/>
        </w:rPr>
        <w:t xml:space="preserve">high quality products </w:t>
      </w:r>
      <w:r w:rsidR="00C87994">
        <w:rPr>
          <w:bCs/>
        </w:rPr>
        <w:t xml:space="preserve">to processors, who in turn will </w:t>
      </w:r>
      <w:r w:rsidR="00D4403F">
        <w:rPr>
          <w:bCs/>
        </w:rPr>
        <w:t xml:space="preserve">benefit </w:t>
      </w:r>
      <w:r w:rsidR="00C87994">
        <w:rPr>
          <w:bCs/>
        </w:rPr>
        <w:t>from a consequent increase in overall efficiency.</w:t>
      </w:r>
      <w:r>
        <w:rPr>
          <w:bCs/>
        </w:rPr>
        <w:t>”</w:t>
      </w:r>
      <w:r w:rsidR="003175D9">
        <w:rPr>
          <w:bCs/>
        </w:rPr>
        <w:t xml:space="preserve"> </w:t>
      </w:r>
    </w:p>
    <w:p w14:paraId="2F2935E7" w14:textId="16F7C235" w:rsidR="001A4127" w:rsidRPr="003D44C2" w:rsidRDefault="00711B2B" w:rsidP="00DB6E37">
      <w:pPr>
        <w:rPr>
          <w:bCs/>
        </w:rPr>
      </w:pPr>
      <w:r>
        <w:rPr>
          <w:bCs/>
        </w:rPr>
        <w:t xml:space="preserve">The TOMRA 3C uses the unique combination of </w:t>
      </w:r>
      <w:r w:rsidR="00D4403F">
        <w:rPr>
          <w:bCs/>
        </w:rPr>
        <w:t xml:space="preserve">high-resolution color camera </w:t>
      </w:r>
      <w:r w:rsidR="002D0329">
        <w:rPr>
          <w:bCs/>
        </w:rPr>
        <w:t>with either Laser</w:t>
      </w:r>
      <w:r w:rsidR="00D4403F">
        <w:rPr>
          <w:bCs/>
        </w:rPr>
        <w:t xml:space="preserve"> </w:t>
      </w:r>
      <w:r w:rsidR="002D0329">
        <w:rPr>
          <w:bCs/>
        </w:rPr>
        <w:t>or Near Infra-Red</w:t>
      </w:r>
      <w:r>
        <w:rPr>
          <w:bCs/>
        </w:rPr>
        <w:t xml:space="preserve"> </w:t>
      </w:r>
      <w:r w:rsidR="002D0329">
        <w:rPr>
          <w:bCs/>
        </w:rPr>
        <w:t xml:space="preserve">(NIR) technology </w:t>
      </w:r>
      <w:r>
        <w:rPr>
          <w:bCs/>
        </w:rPr>
        <w:t xml:space="preserve">to </w:t>
      </w:r>
      <w:r w:rsidR="00D4403F">
        <w:rPr>
          <w:bCs/>
        </w:rPr>
        <w:t xml:space="preserve">ensure the product meets the highest food security and quality standards. The double-sided RGB cameras combined with high-intensity, focused LED lighting detect the subtlest color and shape defects, while </w:t>
      </w:r>
      <w:r w:rsidR="002D0329">
        <w:rPr>
          <w:bCs/>
        </w:rPr>
        <w:t>NIR sensor accurately identifies foreign materials such as sticks, hulls, stick-tights and plastics</w:t>
      </w:r>
      <w:r w:rsidR="00D4403F">
        <w:rPr>
          <w:bCs/>
        </w:rPr>
        <w:t>. The</w:t>
      </w:r>
      <w:r w:rsidR="002064E7">
        <w:rPr>
          <w:bCs/>
        </w:rPr>
        <w:t xml:space="preserve"> ejection system features a </w:t>
      </w:r>
      <w:r w:rsidR="00D4403F">
        <w:rPr>
          <w:bCs/>
        </w:rPr>
        <w:t>high-speed valve with</w:t>
      </w:r>
      <w:r w:rsidR="002064E7">
        <w:rPr>
          <w:bCs/>
        </w:rPr>
        <w:t xml:space="preserve"> a</w:t>
      </w:r>
      <w:r w:rsidR="00D4403F">
        <w:rPr>
          <w:bCs/>
        </w:rPr>
        <w:t xml:space="preserve"> direct nozzle connection</w:t>
      </w:r>
      <w:r w:rsidR="002064E7">
        <w:rPr>
          <w:bCs/>
        </w:rPr>
        <w:t xml:space="preserve">, which </w:t>
      </w:r>
      <w:r w:rsidR="00D4403F">
        <w:rPr>
          <w:bCs/>
        </w:rPr>
        <w:t xml:space="preserve">ensures </w:t>
      </w:r>
      <w:r w:rsidR="002064E7">
        <w:rPr>
          <w:bCs/>
        </w:rPr>
        <w:t xml:space="preserve">high-precision rejection with </w:t>
      </w:r>
      <w:r w:rsidR="00D4403F" w:rsidRPr="00DC0E3F">
        <w:rPr>
          <w:bCs/>
        </w:rPr>
        <w:t xml:space="preserve">extremely </w:t>
      </w:r>
      <w:r w:rsidR="00D4403F" w:rsidRPr="003D44C2">
        <w:rPr>
          <w:bCs/>
        </w:rPr>
        <w:t>low false rejects</w:t>
      </w:r>
      <w:r w:rsidR="00D4403F" w:rsidRPr="00DC0E3F">
        <w:rPr>
          <w:bCs/>
        </w:rPr>
        <w:t xml:space="preserve">, while the </w:t>
      </w:r>
      <w:r w:rsidR="002B49DC" w:rsidRPr="00DC0E3F">
        <w:rPr>
          <w:bCs/>
        </w:rPr>
        <w:t>soft-landing</w:t>
      </w:r>
      <w:r w:rsidR="00D4403F" w:rsidRPr="00DC0E3F">
        <w:rPr>
          <w:bCs/>
        </w:rPr>
        <w:t xml:space="preserve"> chute guarantees </w:t>
      </w:r>
      <w:r w:rsidR="00D4403F" w:rsidRPr="003D44C2">
        <w:rPr>
          <w:bCs/>
        </w:rPr>
        <w:t>minimal bre</w:t>
      </w:r>
      <w:r w:rsidR="00020191" w:rsidRPr="003D44C2">
        <w:rPr>
          <w:bCs/>
        </w:rPr>
        <w:t>akage</w:t>
      </w:r>
      <w:r w:rsidR="00020191" w:rsidRPr="00DC0E3F">
        <w:rPr>
          <w:bCs/>
        </w:rPr>
        <w:t>. The result is consistent,</w:t>
      </w:r>
      <w:r w:rsidR="00D4403F" w:rsidRPr="00DC0E3F">
        <w:rPr>
          <w:bCs/>
        </w:rPr>
        <w:t xml:space="preserve"> high quality of the output product</w:t>
      </w:r>
      <w:r w:rsidR="00100E60" w:rsidRPr="00DC0E3F">
        <w:rPr>
          <w:bCs/>
        </w:rPr>
        <w:t xml:space="preserve"> – a </w:t>
      </w:r>
      <w:r w:rsidR="00100E60" w:rsidRPr="003D44C2">
        <w:rPr>
          <w:bCs/>
        </w:rPr>
        <w:t>performance without equal</w:t>
      </w:r>
      <w:r w:rsidR="00D4403F" w:rsidRPr="003D44C2">
        <w:rPr>
          <w:bCs/>
        </w:rPr>
        <w:t>.</w:t>
      </w:r>
      <w:r w:rsidR="0000513F" w:rsidRPr="003D44C2">
        <w:rPr>
          <w:bCs/>
        </w:rPr>
        <w:t xml:space="preserve"> </w:t>
      </w:r>
    </w:p>
    <w:p w14:paraId="2BBE5426" w14:textId="0D0623F9" w:rsidR="00D4403F" w:rsidRDefault="00FF3BFB" w:rsidP="00DB6E37">
      <w:pPr>
        <w:rPr>
          <w:bCs/>
        </w:rPr>
      </w:pPr>
      <w:r w:rsidRPr="00DC0E3F">
        <w:rPr>
          <w:bCs/>
        </w:rPr>
        <w:t xml:space="preserve">The TOMRA 3C requires minimal tweaks and adjustments, which contributes to a high-stability performance and consistent quality, and means its implementation is quick and easy. </w:t>
      </w:r>
      <w:r w:rsidR="00713390" w:rsidRPr="00DC0E3F">
        <w:rPr>
          <w:bCs/>
        </w:rPr>
        <w:t xml:space="preserve">Operators will find the TOMRA 3C to be </w:t>
      </w:r>
      <w:r w:rsidR="00713390" w:rsidRPr="003D44C2">
        <w:rPr>
          <w:bCs/>
        </w:rPr>
        <w:t>easy to use</w:t>
      </w:r>
      <w:r w:rsidR="00713390" w:rsidRPr="00DC0E3F">
        <w:rPr>
          <w:bCs/>
        </w:rPr>
        <w:t xml:space="preserve">, with advanced tuning made simple by the application-specific tuning parameters and intuitive </w:t>
      </w:r>
      <w:r w:rsidR="002B49DC" w:rsidRPr="00DC0E3F">
        <w:rPr>
          <w:bCs/>
        </w:rPr>
        <w:t>GUI. M</w:t>
      </w:r>
      <w:r w:rsidR="00713390" w:rsidRPr="00DC0E3F">
        <w:rPr>
          <w:bCs/>
        </w:rPr>
        <w:t>aintenance is quick, with features such as the tool-fre</w:t>
      </w:r>
      <w:r w:rsidR="00100E60" w:rsidRPr="00DC0E3F">
        <w:rPr>
          <w:bCs/>
        </w:rPr>
        <w:t xml:space="preserve">e removal of the landing </w:t>
      </w:r>
      <w:r w:rsidR="002B49DC" w:rsidRPr="00DC0E3F">
        <w:rPr>
          <w:bCs/>
        </w:rPr>
        <w:t xml:space="preserve">chute. </w:t>
      </w:r>
      <w:r w:rsidR="00DC2727" w:rsidRPr="00DC0E3F">
        <w:rPr>
          <w:bCs/>
        </w:rPr>
        <w:t>The</w:t>
      </w:r>
      <w:r w:rsidR="002B49DC" w:rsidRPr="00DC0E3F">
        <w:rPr>
          <w:bCs/>
        </w:rPr>
        <w:t xml:space="preserve"> </w:t>
      </w:r>
      <w:r w:rsidR="002064E7" w:rsidRPr="00DC0E3F">
        <w:rPr>
          <w:bCs/>
        </w:rPr>
        <w:t xml:space="preserve">timed cleaning of the </w:t>
      </w:r>
      <w:r w:rsidR="002B49DC" w:rsidRPr="00DC0E3F">
        <w:rPr>
          <w:bCs/>
        </w:rPr>
        <w:t>intelligent auto</w:t>
      </w:r>
      <w:r w:rsidR="002064E7" w:rsidRPr="00DC0E3F">
        <w:rPr>
          <w:bCs/>
        </w:rPr>
        <w:t>matic</w:t>
      </w:r>
      <w:r w:rsidR="002B49DC" w:rsidRPr="00DC0E3F">
        <w:rPr>
          <w:bCs/>
        </w:rPr>
        <w:t xml:space="preserve"> cleaning</w:t>
      </w:r>
      <w:r w:rsidR="002064E7" w:rsidRPr="00DC0E3F">
        <w:rPr>
          <w:bCs/>
        </w:rPr>
        <w:t xml:space="preserve"> system</w:t>
      </w:r>
      <w:r w:rsidR="002B49DC" w:rsidRPr="00DC0E3F">
        <w:rPr>
          <w:bCs/>
        </w:rPr>
        <w:t>,</w:t>
      </w:r>
      <w:r w:rsidR="00DC2727" w:rsidRPr="00DC0E3F">
        <w:rPr>
          <w:bCs/>
        </w:rPr>
        <w:t xml:space="preserve"> together with the remote and on-screen warning, </w:t>
      </w:r>
      <w:r w:rsidR="00DC0E3F" w:rsidRPr="00DC0E3F">
        <w:rPr>
          <w:bCs/>
        </w:rPr>
        <w:t>always ensures maximum uptime with the machine performing at its best</w:t>
      </w:r>
      <w:r w:rsidR="00100E60">
        <w:rPr>
          <w:bCs/>
        </w:rPr>
        <w:t>.</w:t>
      </w:r>
    </w:p>
    <w:p w14:paraId="6987A379" w14:textId="39CE9393" w:rsidR="00FF3BFB" w:rsidRDefault="00FF3BFB" w:rsidP="00DB6E37">
      <w:pPr>
        <w:rPr>
          <w:bCs/>
        </w:rPr>
      </w:pPr>
      <w:r>
        <w:rPr>
          <w:bCs/>
        </w:rPr>
        <w:t>A further significant benefit of the TOMRA 3C is</w:t>
      </w:r>
      <w:r w:rsidR="00D1355A">
        <w:rPr>
          <w:bCs/>
        </w:rPr>
        <w:t xml:space="preserve"> its modular design, so that it can be sized to the customer’s specific requirements with 2, 3 or 4 chutes</w:t>
      </w:r>
      <w:r w:rsidR="00E83A0D">
        <w:rPr>
          <w:bCs/>
        </w:rPr>
        <w:t>. Most importantly, each chute is completely independent of the others, so that the machine can</w:t>
      </w:r>
      <w:r>
        <w:rPr>
          <w:bCs/>
        </w:rPr>
        <w:t xml:space="preserve"> </w:t>
      </w:r>
      <w:r w:rsidR="00E83A0D">
        <w:rPr>
          <w:bCs/>
        </w:rPr>
        <w:t>sort different defects on each chute</w:t>
      </w:r>
      <w:r>
        <w:rPr>
          <w:bCs/>
        </w:rPr>
        <w:t>,</w:t>
      </w:r>
      <w:r w:rsidR="00E83A0D">
        <w:rPr>
          <w:bCs/>
        </w:rPr>
        <w:t xml:space="preserve"> or looping product – for example, hash – through</w:t>
      </w:r>
      <w:r>
        <w:rPr>
          <w:bCs/>
        </w:rPr>
        <w:t xml:space="preserve"> multiple passes to ensure </w:t>
      </w:r>
      <w:r w:rsidR="00E83A0D">
        <w:rPr>
          <w:bCs/>
        </w:rPr>
        <w:t>pure Foreign Material</w:t>
      </w:r>
      <w:r w:rsidR="001B171A">
        <w:rPr>
          <w:bCs/>
        </w:rPr>
        <w:t xml:space="preserve"> (FM)</w:t>
      </w:r>
      <w:r w:rsidR="00E83A0D">
        <w:rPr>
          <w:bCs/>
        </w:rPr>
        <w:t xml:space="preserve"> is ejected on one end and pure kernels on the other. </w:t>
      </w:r>
      <w:r w:rsidR="00D1355A">
        <w:rPr>
          <w:bCs/>
        </w:rPr>
        <w:t xml:space="preserve">This means the customer will have all the advantages of high </w:t>
      </w:r>
      <w:r w:rsidR="00D1355A">
        <w:rPr>
          <w:bCs/>
        </w:rPr>
        <w:lastRenderedPageBreak/>
        <w:t xml:space="preserve">capacity </w:t>
      </w:r>
      <w:r w:rsidR="00E83A0D">
        <w:rPr>
          <w:bCs/>
        </w:rPr>
        <w:t xml:space="preserve">and efficiency </w:t>
      </w:r>
      <w:r w:rsidR="00D1355A">
        <w:rPr>
          <w:bCs/>
        </w:rPr>
        <w:t xml:space="preserve">together with </w:t>
      </w:r>
      <w:r w:rsidR="00B617DE">
        <w:rPr>
          <w:bCs/>
        </w:rPr>
        <w:t>high-quality</w:t>
      </w:r>
      <w:r>
        <w:rPr>
          <w:bCs/>
        </w:rPr>
        <w:t xml:space="preserve"> product</w:t>
      </w:r>
      <w:r w:rsidR="00D1355A">
        <w:rPr>
          <w:bCs/>
        </w:rPr>
        <w:t xml:space="preserve"> that</w:t>
      </w:r>
      <w:r>
        <w:rPr>
          <w:bCs/>
        </w:rPr>
        <w:t xml:space="preserve"> </w:t>
      </w:r>
      <w:r w:rsidR="00D1355A">
        <w:rPr>
          <w:bCs/>
        </w:rPr>
        <w:t>commands</w:t>
      </w:r>
      <w:r>
        <w:rPr>
          <w:bCs/>
        </w:rPr>
        <w:t xml:space="preserve"> higher prices on the market, </w:t>
      </w:r>
      <w:r w:rsidR="00D1355A">
        <w:rPr>
          <w:bCs/>
        </w:rPr>
        <w:t>resulting in greater profitability for their business</w:t>
      </w:r>
      <w:r>
        <w:rPr>
          <w:bCs/>
        </w:rPr>
        <w:t>.</w:t>
      </w:r>
    </w:p>
    <w:p w14:paraId="758E27C2" w14:textId="79C0357D" w:rsidR="00B21187" w:rsidRPr="003D44C2" w:rsidRDefault="00FF3BFB">
      <w:r w:rsidRPr="002D0329">
        <w:t xml:space="preserve">Australian almond huller and sheller </w:t>
      </w:r>
      <w:proofErr w:type="spellStart"/>
      <w:r w:rsidRPr="002D0329">
        <w:t>Laragon</w:t>
      </w:r>
      <w:proofErr w:type="spellEnd"/>
      <w:r w:rsidRPr="002D0329">
        <w:t xml:space="preserve"> Almond Processors recently tested the TOMRA 3C in their inshell almond operation, and it exceeded their already high expectations with an exceptional performance across food safety, waste and yield optimization – even </w:t>
      </w:r>
      <w:r w:rsidR="00975C2A" w:rsidRPr="002D0329">
        <w:t>substituting</w:t>
      </w:r>
      <w:r w:rsidRPr="002D0329">
        <w:t xml:space="preserve"> one of their existing inshell sorters. </w:t>
      </w:r>
      <w:r w:rsidR="00B21187" w:rsidRPr="002D0329">
        <w:t xml:space="preserve">Mark Webber, </w:t>
      </w:r>
      <w:r w:rsidR="00787F77" w:rsidRPr="002D0329">
        <w:t>General Manager</w:t>
      </w:r>
      <w:r w:rsidR="00B21187" w:rsidRPr="002D0329">
        <w:t xml:space="preserve"> of </w:t>
      </w:r>
      <w:proofErr w:type="spellStart"/>
      <w:r w:rsidR="00B21187" w:rsidRPr="002D0329">
        <w:t>Laragon</w:t>
      </w:r>
      <w:proofErr w:type="spellEnd"/>
      <w:r w:rsidR="00B21187" w:rsidRPr="002D0329">
        <w:t>, is delighted with the result</w:t>
      </w:r>
      <w:r w:rsidR="00B617DE" w:rsidRPr="002D0329">
        <w:t>: “</w:t>
      </w:r>
      <w:r w:rsidR="00B21187" w:rsidRPr="002D0329">
        <w:t>Yield optimization was one of the key factors we originally looked at […]</w:t>
      </w:r>
      <w:r w:rsidR="00B617DE" w:rsidRPr="002D0329">
        <w:t xml:space="preserve"> </w:t>
      </w:r>
      <w:r w:rsidR="00B21187" w:rsidRPr="002D0329">
        <w:t xml:space="preserve">the machine </w:t>
      </w:r>
      <w:r w:rsidR="00B617DE" w:rsidRPr="002D0329">
        <w:t>h</w:t>
      </w:r>
      <w:r w:rsidR="00B21187" w:rsidRPr="002D0329">
        <w:t>as done exceptionally well. It was surprising to see that our inshell product purity standards of +98% were achieved with ease. In fact, across the 2019 processing season we averaged an inshell produ</w:t>
      </w:r>
      <w:r w:rsidR="00B617DE" w:rsidRPr="002D0329">
        <w:t>ct purity of +99.</w:t>
      </w:r>
      <w:r w:rsidR="00B21187" w:rsidRPr="002D0329">
        <w:t xml:space="preserve">5%.” </w:t>
      </w:r>
      <w:r w:rsidR="00244AD2" w:rsidRPr="002D0329">
        <w:t xml:space="preserve">In addition, </w:t>
      </w:r>
      <w:proofErr w:type="spellStart"/>
      <w:r w:rsidR="00244AD2" w:rsidRPr="002D0329">
        <w:t>Laragon</w:t>
      </w:r>
      <w:proofErr w:type="spellEnd"/>
      <w:r w:rsidR="00244AD2" w:rsidRPr="002D0329">
        <w:t xml:space="preserve"> recorded an average Good in Bad ratio of 15%, where this had previously been in the range of 30% or more, resulting in a 15% improved pack-out yield on inshell produce.</w:t>
      </w:r>
      <w:r w:rsidR="00244AD2" w:rsidRPr="003D44C2">
        <w:t xml:space="preserve"> </w:t>
      </w:r>
    </w:p>
    <w:p w14:paraId="0FE008B5" w14:textId="0B19C623" w:rsidR="00C17E8C" w:rsidRPr="00B617DE" w:rsidRDefault="00B617DE" w:rsidP="00DB6E37">
      <w:pPr>
        <w:rPr>
          <w:b/>
          <w:bCs/>
        </w:rPr>
      </w:pPr>
      <w:r>
        <w:rPr>
          <w:b/>
          <w:bCs/>
        </w:rPr>
        <w:t>TOMRA: a sorting solution for every stage of the production line</w:t>
      </w:r>
    </w:p>
    <w:p w14:paraId="20478D29" w14:textId="77777777" w:rsidR="002D0329" w:rsidRDefault="002D0329" w:rsidP="002D0329">
      <w:pPr>
        <w:rPr>
          <w:bCs/>
        </w:rPr>
      </w:pPr>
      <w:r>
        <w:rPr>
          <w:bCs/>
        </w:rPr>
        <w:t xml:space="preserve">The TOMRA 3C complements TOMRA’s offering of almond sorting solutions for every stage of the production line to deliver the perfect brown skin or blanched almond at the end of the process. Once the product has gone through the TOMRA 3C at the front of the line, the </w:t>
      </w:r>
      <w:proofErr w:type="spellStart"/>
      <w:r>
        <w:rPr>
          <w:bCs/>
        </w:rPr>
        <w:t>Ixus</w:t>
      </w:r>
      <w:proofErr w:type="spellEnd"/>
      <w:r>
        <w:rPr>
          <w:bCs/>
        </w:rPr>
        <w:t xml:space="preserve"> will sort dense FM, the Nimbus will deal with focused FM and the Nimbus BSI+ the remaining FM and Serious Damage. Once the produce has gone through the sizer, a further pass through a Nimbus BSI+ will detect fine-tuned insect damage and, to finish, the Genius for chip and scratch. At the end of this process, the product can go straight in the packaging with little or no hand sorting – and the processor knows they are delivering to their customers product of the highest quality and food safety standards.</w:t>
      </w:r>
    </w:p>
    <w:p w14:paraId="02BFB8E8" w14:textId="42685B53" w:rsidR="006F7A99" w:rsidRPr="00E0380E" w:rsidRDefault="00E0380E" w:rsidP="00DB6E37">
      <w:pPr>
        <w:rPr>
          <w:b/>
          <w:bCs/>
        </w:rPr>
      </w:pPr>
      <w:r>
        <w:rPr>
          <w:b/>
          <w:bCs/>
        </w:rPr>
        <w:t xml:space="preserve">TOMRA </w:t>
      </w:r>
      <w:r w:rsidR="001B171A">
        <w:rPr>
          <w:b/>
          <w:bCs/>
        </w:rPr>
        <w:t>Detox</w:t>
      </w:r>
      <w:r>
        <w:rPr>
          <w:b/>
          <w:bCs/>
        </w:rPr>
        <w:t>: the effective solution to reliable aflatoxin detection</w:t>
      </w:r>
    </w:p>
    <w:p w14:paraId="6E064823" w14:textId="2C4BF7B4" w:rsidR="002D0329" w:rsidRDefault="002D0329" w:rsidP="002D0329">
      <w:pPr>
        <w:rPr>
          <w:bCs/>
        </w:rPr>
      </w:pPr>
      <w:r>
        <w:rPr>
          <w:bCs/>
        </w:rPr>
        <w:t xml:space="preserve">Reliable detection of aflatoxins can have a big impact on a processor’s business, as Brendan O’Donnell explains: “Accurate detection mitigates the extra costs, labor and handling – and the disruption to the plant’s operation – incurred whenever a shipment is rejected for contamination by aflatoxins. A rejection is not only expensive, but could also negatively affect the reputation and brand image of the processor.  Every country </w:t>
      </w:r>
      <w:proofErr w:type="gramStart"/>
      <w:r>
        <w:t>checks</w:t>
      </w:r>
      <w:proofErr w:type="gramEnd"/>
      <w:r>
        <w:t xml:space="preserve"> for aflatoxins by testing samples of the product, but this is not a dependable method as aflatoxin tends to be located in pockets, or ‘hotspots’.</w:t>
      </w:r>
      <w:r>
        <w:rPr>
          <w:bCs/>
        </w:rPr>
        <w:t xml:space="preserve"> At TOMRA, we have analyzed the issue and developed a solution, which has proven its extreme reliability in detecting aflatoxins in various operations, and the only true way to know every almond is inspected by the TOMRA Detox technology.”</w:t>
      </w:r>
    </w:p>
    <w:p w14:paraId="5450C400" w14:textId="5991562A" w:rsidR="006F7A99" w:rsidRDefault="005E0ED1" w:rsidP="00DB6E37">
      <w:pPr>
        <w:rPr>
          <w:bCs/>
        </w:rPr>
      </w:pPr>
      <w:r>
        <w:rPr>
          <w:bCs/>
        </w:rPr>
        <w:t xml:space="preserve">This has been the experience of Spanish Almond processor </w:t>
      </w:r>
      <w:proofErr w:type="spellStart"/>
      <w:r w:rsidR="003D44C2">
        <w:rPr>
          <w:bCs/>
        </w:rPr>
        <w:t>Crisol</w:t>
      </w:r>
      <w:r w:rsidR="002D0329">
        <w:rPr>
          <w:bCs/>
        </w:rPr>
        <w:t>ar</w:t>
      </w:r>
      <w:proofErr w:type="spellEnd"/>
      <w:r>
        <w:rPr>
          <w:bCs/>
        </w:rPr>
        <w:t xml:space="preserve">, which has been using TOMRA’s </w:t>
      </w:r>
      <w:r w:rsidR="001B171A">
        <w:rPr>
          <w:bCs/>
        </w:rPr>
        <w:t xml:space="preserve">Detox </w:t>
      </w:r>
      <w:r>
        <w:rPr>
          <w:bCs/>
        </w:rPr>
        <w:t xml:space="preserve">machine with excellent results. “Last year we decided to ask TOMRA about the </w:t>
      </w:r>
      <w:r w:rsidR="001B171A">
        <w:rPr>
          <w:bCs/>
        </w:rPr>
        <w:t xml:space="preserve">Detox </w:t>
      </w:r>
      <w:r>
        <w:rPr>
          <w:bCs/>
        </w:rPr>
        <w:t xml:space="preserve">laser, which I had heard was having good results with peanuts. There was no previous experience with Spanish almonds, so we worked with TOMRA to evaluate and adapt the machine to Spanish almonds. The work was satisfactory to the point that we decided to purchase the </w:t>
      </w:r>
      <w:r w:rsidR="00F27B0D">
        <w:rPr>
          <w:bCs/>
        </w:rPr>
        <w:t xml:space="preserve">Detox </w:t>
      </w:r>
      <w:r>
        <w:rPr>
          <w:bCs/>
        </w:rPr>
        <w:t>for our operation. We believe that the work we did together will benefit the almond sector not only in Spain, but also in California and Australia,” commented Ant</w:t>
      </w:r>
      <w:r w:rsidR="009578B0">
        <w:rPr>
          <w:bCs/>
        </w:rPr>
        <w:t xml:space="preserve">onio Pont, President of </w:t>
      </w:r>
      <w:proofErr w:type="spellStart"/>
      <w:r w:rsidR="002D0329">
        <w:rPr>
          <w:bCs/>
        </w:rPr>
        <w:t>Crisolar</w:t>
      </w:r>
      <w:proofErr w:type="spellEnd"/>
      <w:r w:rsidR="009578B0">
        <w:rPr>
          <w:bCs/>
        </w:rPr>
        <w:t>.</w:t>
      </w:r>
    </w:p>
    <w:p w14:paraId="601513E8" w14:textId="1681601B" w:rsidR="001628C0" w:rsidRDefault="001628C0" w:rsidP="001628C0">
      <w:pPr>
        <w:rPr>
          <w:bCs/>
        </w:rPr>
      </w:pPr>
      <w:r>
        <w:rPr>
          <w:bCs/>
        </w:rPr>
        <w:t xml:space="preserve">Brendan O’Donnell will share his expertise on detection of aflatoxins in the panel discussion “Sorting for Aflatoxin – The Needle in the Haystack”, which will be held at the </w:t>
      </w:r>
      <w:hyperlink r:id="rId8" w:history="1">
        <w:r w:rsidRPr="00D906BC">
          <w:rPr>
            <w:rStyle w:val="Hyperlink"/>
            <w:bCs/>
          </w:rPr>
          <w:t xml:space="preserve">Almond Conference  on December 11 at 8 </w:t>
        </w:r>
        <w:bookmarkStart w:id="0" w:name="_GoBack"/>
        <w:r w:rsidRPr="00D906BC">
          <w:rPr>
            <w:rStyle w:val="Hyperlink"/>
            <w:bCs/>
          </w:rPr>
          <w:t>am</w:t>
        </w:r>
        <w:bookmarkEnd w:id="0"/>
        <w:r w:rsidRPr="00D906BC">
          <w:rPr>
            <w:rStyle w:val="Hyperlink"/>
            <w:bCs/>
          </w:rPr>
          <w:t xml:space="preserve"> in Building C, Room 1</w:t>
        </w:r>
      </w:hyperlink>
      <w:r>
        <w:rPr>
          <w:bCs/>
        </w:rPr>
        <w:t>.</w:t>
      </w:r>
    </w:p>
    <w:p w14:paraId="7BD930C6" w14:textId="77777777" w:rsidR="00B21187" w:rsidRPr="00C17E8C" w:rsidRDefault="00B21187" w:rsidP="00B617DE">
      <w:pPr>
        <w:jc w:val="both"/>
        <w:rPr>
          <w:bCs/>
        </w:rPr>
      </w:pPr>
    </w:p>
    <w:p w14:paraId="40F6C14A" w14:textId="74954545" w:rsidR="0046714E" w:rsidRDefault="0046714E" w:rsidP="00B617DE">
      <w:pPr>
        <w:spacing w:after="0" w:line="240" w:lineRule="auto"/>
        <w:jc w:val="both"/>
        <w:rPr>
          <w:b/>
          <w:bCs/>
        </w:rPr>
      </w:pPr>
      <w:r>
        <w:rPr>
          <w:b/>
          <w:bCs/>
        </w:rPr>
        <w:t xml:space="preserve">About TOMRA Food </w:t>
      </w:r>
    </w:p>
    <w:p w14:paraId="55620A93" w14:textId="77777777" w:rsidR="0046714E" w:rsidRDefault="0046714E" w:rsidP="00B617DE">
      <w:pPr>
        <w:jc w:val="both"/>
        <w:rPr>
          <w:color w:val="4472C4"/>
        </w:rPr>
      </w:pPr>
      <w:r>
        <w:rPr>
          <w:color w:val="4472C4"/>
        </w:rPr>
        <w:br/>
      </w:r>
      <w:r>
        <w:t>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2D3C8950" w14:textId="77777777" w:rsidR="0046714E" w:rsidRPr="001043EE" w:rsidRDefault="0046714E" w:rsidP="00B617DE">
      <w:pPr>
        <w:jc w:val="both"/>
      </w:pPr>
      <w:r>
        <w:t xml:space="preserve">TOMRA Food is member of the TOMRA Group that was founded on innovation in 1972 that began with design, </w:t>
      </w:r>
      <w:r w:rsidRPr="001043EE">
        <w:t xml:space="preserve">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066C88B9" w14:textId="77777777" w:rsidR="0046714E" w:rsidRPr="00363117" w:rsidRDefault="0046714E" w:rsidP="00B617DE">
      <w:pPr>
        <w:jc w:val="both"/>
      </w:pPr>
      <w:r w:rsidRPr="001043EE">
        <w:t>TOMRA has ~100,000 installations in over 80 markets worldwide and had total revenues of ~8.6 billion NOK in 2018. The Group employs ~4,000 globally and is publicly listed on the Oslo Stock Exchange (OSE: TOM</w:t>
      </w:r>
      <w:r>
        <w:t xml:space="preserve">). For further information about TOMRA, please see </w:t>
      </w:r>
      <w:hyperlink r:id="rId9" w:history="1">
        <w:r>
          <w:rPr>
            <w:rStyle w:val="Hyperlink"/>
          </w:rPr>
          <w:t>www.tomra.com</w:t>
        </w:r>
      </w:hyperlink>
    </w:p>
    <w:p w14:paraId="5DDE41F0" w14:textId="3E1E18DF" w:rsidR="007B1886" w:rsidRDefault="007B1886" w:rsidP="00B617DE">
      <w:pPr>
        <w:jc w:val="both"/>
      </w:pPr>
    </w:p>
    <w:p w14:paraId="329476B8" w14:textId="77777777" w:rsidR="007B1886" w:rsidRPr="00435AD2" w:rsidRDefault="007B1886" w:rsidP="00B617DE">
      <w:pPr>
        <w:tabs>
          <w:tab w:val="left" w:pos="4050"/>
        </w:tabs>
        <w:spacing w:after="0" w:line="240" w:lineRule="auto"/>
        <w:jc w:val="both"/>
        <w:rPr>
          <w:rFonts w:cstheme="minorHAnsi"/>
        </w:rPr>
      </w:pPr>
    </w:p>
    <w:p w14:paraId="049B4538" w14:textId="77777777" w:rsidR="007B1886" w:rsidRPr="00DF17FC" w:rsidRDefault="007B1886" w:rsidP="00B617DE">
      <w:pPr>
        <w:spacing w:after="0" w:line="255" w:lineRule="atLeast"/>
        <w:jc w:val="both"/>
        <w:rPr>
          <w:rFonts w:ascii="Calibri" w:hAnsi="Calibri"/>
          <w:i/>
          <w:iCs/>
          <w:sz w:val="20"/>
          <w:szCs w:val="20"/>
        </w:rPr>
      </w:pPr>
      <w:r w:rsidRPr="00DF17FC">
        <w:rPr>
          <w:rFonts w:ascii="Calibri" w:hAnsi="Calibri"/>
          <w:i/>
          <w:iCs/>
          <w:sz w:val="20"/>
          <w:szCs w:val="20"/>
          <w:u w:val="single"/>
        </w:rPr>
        <w:t>Media Contacts</w:t>
      </w:r>
      <w:r w:rsidRPr="00DF17FC">
        <w:rPr>
          <w:rFonts w:ascii="Calibri" w:hAnsi="Calibri"/>
          <w:i/>
          <w:iCs/>
          <w:sz w:val="20"/>
          <w:szCs w:val="20"/>
        </w:rPr>
        <w:t>:</w:t>
      </w:r>
    </w:p>
    <w:p w14:paraId="53BB16B0" w14:textId="77777777" w:rsidR="007B1886" w:rsidRPr="00DF17FC" w:rsidRDefault="007B1886" w:rsidP="00B617DE">
      <w:pPr>
        <w:spacing w:after="0" w:line="255" w:lineRule="atLeast"/>
        <w:jc w:val="both"/>
        <w:rPr>
          <w:sz w:val="20"/>
          <w:szCs w:val="20"/>
        </w:rPr>
      </w:pPr>
    </w:p>
    <w:p w14:paraId="4B623142" w14:textId="77777777" w:rsidR="007B1886" w:rsidRPr="00DF17FC" w:rsidRDefault="007B1886" w:rsidP="00B617DE">
      <w:pPr>
        <w:spacing w:after="0" w:line="0" w:lineRule="atLeast"/>
        <w:jc w:val="both"/>
        <w:rPr>
          <w:rFonts w:ascii="Calibri" w:hAnsi="Calibri"/>
          <w:i/>
          <w:iCs/>
          <w:sz w:val="2"/>
          <w:szCs w:val="2"/>
        </w:rPr>
      </w:pPr>
      <w:r w:rsidRPr="00DF17FC">
        <w:rPr>
          <w:rFonts w:ascii="Calibri" w:hAnsi="Calibri"/>
          <w:i/>
          <w:iCs/>
          <w:sz w:val="2"/>
          <w:szCs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1886" w:rsidRPr="007222BC" w14:paraId="020D24FD" w14:textId="77777777" w:rsidTr="005D69CD">
        <w:tc>
          <w:tcPr>
            <w:tcW w:w="4675" w:type="dxa"/>
            <w:hideMark/>
          </w:tcPr>
          <w:p w14:paraId="11088A38" w14:textId="77777777" w:rsidR="007B1886" w:rsidRPr="00985FD6" w:rsidRDefault="007B1886" w:rsidP="00B617DE">
            <w:pPr>
              <w:jc w:val="both"/>
              <w:rPr>
                <w:rFonts w:ascii="Calibri" w:hAnsi="Calibri"/>
                <w:i/>
                <w:iCs/>
                <w:sz w:val="20"/>
                <w:szCs w:val="20"/>
                <w:lang w:val="fr-BE"/>
              </w:rPr>
            </w:pPr>
            <w:proofErr w:type="spellStart"/>
            <w:r w:rsidRPr="00985FD6">
              <w:rPr>
                <w:rFonts w:ascii="Calibri" w:hAnsi="Calibri"/>
                <w:i/>
                <w:iCs/>
                <w:sz w:val="20"/>
                <w:szCs w:val="20"/>
                <w:lang w:val="fr-BE"/>
              </w:rPr>
              <w:t>Nuria</w:t>
            </w:r>
            <w:proofErr w:type="spellEnd"/>
            <w:r w:rsidRPr="00985FD6">
              <w:rPr>
                <w:rFonts w:ascii="Calibri" w:hAnsi="Calibri"/>
                <w:i/>
                <w:iCs/>
                <w:sz w:val="20"/>
                <w:szCs w:val="20"/>
                <w:lang w:val="fr-BE"/>
              </w:rPr>
              <w:t xml:space="preserve"> Martí, Alarcon &amp; Harris PR</w:t>
            </w:r>
          </w:p>
          <w:p w14:paraId="0FAB46A3" w14:textId="77777777" w:rsidR="007B1886" w:rsidRDefault="007B1886" w:rsidP="00B617DE">
            <w:pPr>
              <w:jc w:val="both"/>
              <w:rPr>
                <w:rFonts w:ascii="Calibri" w:hAnsi="Calibri"/>
                <w:i/>
                <w:iCs/>
                <w:sz w:val="20"/>
                <w:szCs w:val="20"/>
                <w:lang w:val="es-ES"/>
              </w:rPr>
            </w:pPr>
            <w:proofErr w:type="spellStart"/>
            <w:r w:rsidRPr="00985FD6">
              <w:rPr>
                <w:rFonts w:ascii="Calibri" w:hAnsi="Calibri"/>
                <w:i/>
                <w:iCs/>
                <w:sz w:val="20"/>
                <w:szCs w:val="20"/>
                <w:lang w:val="fr-BE"/>
              </w:rPr>
              <w:t>Avda</w:t>
            </w:r>
            <w:proofErr w:type="spellEnd"/>
            <w:r w:rsidRPr="00985FD6">
              <w:rPr>
                <w:rFonts w:ascii="Calibri" w:hAnsi="Calibri"/>
                <w:i/>
                <w:iCs/>
                <w:sz w:val="20"/>
                <w:szCs w:val="20"/>
                <w:lang w:val="fr-BE"/>
              </w:rPr>
              <w:t xml:space="preserve">. </w:t>
            </w:r>
            <w:r>
              <w:rPr>
                <w:rFonts w:ascii="Calibri" w:hAnsi="Calibri"/>
                <w:i/>
                <w:iCs/>
                <w:sz w:val="20"/>
                <w:szCs w:val="20"/>
                <w:lang w:val="es-ES"/>
              </w:rPr>
              <w:t>Ramón y Cajal, 27</w:t>
            </w:r>
          </w:p>
          <w:p w14:paraId="38C188D9" w14:textId="77777777" w:rsidR="007B1886" w:rsidRDefault="007B1886" w:rsidP="00B617DE">
            <w:pPr>
              <w:jc w:val="both"/>
              <w:rPr>
                <w:rFonts w:ascii="Calibri" w:hAnsi="Calibri"/>
                <w:i/>
                <w:iCs/>
                <w:sz w:val="20"/>
                <w:szCs w:val="20"/>
                <w:lang w:val="es-ES"/>
              </w:rPr>
            </w:pPr>
            <w:r>
              <w:rPr>
                <w:rFonts w:ascii="Calibri" w:hAnsi="Calibri"/>
                <w:i/>
                <w:iCs/>
                <w:sz w:val="20"/>
                <w:szCs w:val="20"/>
                <w:lang w:val="es-ES"/>
              </w:rPr>
              <w:t xml:space="preserve">28016 Madrid, </w:t>
            </w:r>
            <w:proofErr w:type="spellStart"/>
            <w:r>
              <w:rPr>
                <w:rFonts w:ascii="Calibri" w:hAnsi="Calibri"/>
                <w:i/>
                <w:iCs/>
                <w:sz w:val="20"/>
                <w:szCs w:val="20"/>
                <w:lang w:val="es-ES"/>
              </w:rPr>
              <w:t>Spain</w:t>
            </w:r>
            <w:proofErr w:type="spellEnd"/>
          </w:p>
          <w:p w14:paraId="73ABB80F" w14:textId="77777777" w:rsidR="007B1886" w:rsidRPr="003C313E" w:rsidRDefault="007B1886" w:rsidP="00B617DE">
            <w:pPr>
              <w:jc w:val="both"/>
              <w:rPr>
                <w:rFonts w:ascii="Calibri" w:hAnsi="Calibri"/>
                <w:i/>
                <w:iCs/>
                <w:sz w:val="20"/>
                <w:szCs w:val="20"/>
                <w:lang w:val="es-ES"/>
              </w:rPr>
            </w:pPr>
            <w:r w:rsidRPr="003C313E">
              <w:rPr>
                <w:rFonts w:ascii="Calibri" w:hAnsi="Calibri"/>
                <w:i/>
                <w:iCs/>
                <w:sz w:val="20"/>
                <w:szCs w:val="20"/>
                <w:lang w:val="es-ES"/>
              </w:rPr>
              <w:t>T: +34 91 415 30 20</w:t>
            </w:r>
          </w:p>
          <w:p w14:paraId="1DC0FF61" w14:textId="77777777" w:rsidR="007B1886" w:rsidRPr="003C313E" w:rsidRDefault="007B1886" w:rsidP="00B617DE">
            <w:pPr>
              <w:jc w:val="both"/>
              <w:rPr>
                <w:rFonts w:ascii="Calibri" w:hAnsi="Calibri"/>
                <w:i/>
                <w:iCs/>
                <w:sz w:val="20"/>
                <w:szCs w:val="20"/>
                <w:lang w:val="es-ES"/>
              </w:rPr>
            </w:pPr>
            <w:r w:rsidRPr="003C313E">
              <w:rPr>
                <w:rFonts w:ascii="Calibri" w:hAnsi="Calibri"/>
                <w:i/>
                <w:iCs/>
                <w:sz w:val="20"/>
                <w:szCs w:val="20"/>
                <w:lang w:val="es-ES"/>
              </w:rPr>
              <w:t xml:space="preserve">E: </w:t>
            </w:r>
            <w:hyperlink r:id="rId10" w:history="1">
              <w:r w:rsidRPr="003C313E">
                <w:rPr>
                  <w:rStyle w:val="Hyperlink"/>
                  <w:rFonts w:ascii="Calibri" w:hAnsi="Calibri"/>
                  <w:i/>
                  <w:iCs/>
                  <w:sz w:val="20"/>
                  <w:szCs w:val="20"/>
                  <w:lang w:val="es-ES"/>
                </w:rPr>
                <w:t>nmarti@alarconyharris.com</w:t>
              </w:r>
            </w:hyperlink>
          </w:p>
          <w:p w14:paraId="1011DD52" w14:textId="77777777" w:rsidR="007B1886" w:rsidRDefault="007B1886" w:rsidP="00B617DE">
            <w:pPr>
              <w:jc w:val="both"/>
              <w:rPr>
                <w:rFonts w:ascii="Calibri" w:hAnsi="Calibri"/>
                <w:i/>
                <w:iCs/>
                <w:sz w:val="20"/>
                <w:szCs w:val="20"/>
                <w:lang w:val="es-ES"/>
              </w:rPr>
            </w:pPr>
            <w:r w:rsidRPr="003C313E">
              <w:rPr>
                <w:rFonts w:ascii="Calibri" w:hAnsi="Calibri"/>
                <w:i/>
                <w:iCs/>
                <w:sz w:val="20"/>
                <w:szCs w:val="20"/>
                <w:lang w:val="es-ES"/>
              </w:rPr>
              <w:t xml:space="preserve">W: </w:t>
            </w:r>
            <w:hyperlink r:id="rId11" w:history="1">
              <w:r w:rsidRPr="003C313E">
                <w:rPr>
                  <w:rStyle w:val="Hyperlink"/>
                  <w:rFonts w:ascii="Calibri" w:hAnsi="Calibri"/>
                  <w:i/>
                  <w:iCs/>
                  <w:sz w:val="20"/>
                  <w:szCs w:val="20"/>
                  <w:lang w:val="es-ES"/>
                </w:rPr>
                <w:t>www.alarconyharris.com</w:t>
              </w:r>
            </w:hyperlink>
          </w:p>
        </w:tc>
        <w:tc>
          <w:tcPr>
            <w:tcW w:w="4675" w:type="dxa"/>
            <w:hideMark/>
          </w:tcPr>
          <w:p w14:paraId="1864454B" w14:textId="77777777" w:rsidR="007B1886" w:rsidRPr="003C313E" w:rsidRDefault="007B1886" w:rsidP="00B617DE">
            <w:pPr>
              <w:jc w:val="both"/>
              <w:rPr>
                <w:rFonts w:ascii="Calibri" w:hAnsi="Calibri"/>
                <w:i/>
                <w:iCs/>
                <w:sz w:val="20"/>
                <w:szCs w:val="20"/>
              </w:rPr>
            </w:pPr>
            <w:r w:rsidRPr="003C313E">
              <w:rPr>
                <w:rFonts w:ascii="Calibri" w:hAnsi="Calibri"/>
                <w:i/>
                <w:iCs/>
                <w:sz w:val="20"/>
                <w:szCs w:val="20"/>
              </w:rPr>
              <w:t xml:space="preserve">Marijke </w:t>
            </w:r>
            <w:proofErr w:type="spellStart"/>
            <w:r w:rsidRPr="003C313E">
              <w:rPr>
                <w:rFonts w:ascii="Calibri" w:hAnsi="Calibri"/>
                <w:i/>
                <w:iCs/>
                <w:sz w:val="20"/>
                <w:szCs w:val="20"/>
              </w:rPr>
              <w:t>Bellemans</w:t>
            </w:r>
            <w:proofErr w:type="spellEnd"/>
          </w:p>
          <w:p w14:paraId="59C3120E" w14:textId="77777777" w:rsidR="007B1886" w:rsidRDefault="007B1886" w:rsidP="00B617DE">
            <w:pPr>
              <w:jc w:val="both"/>
              <w:rPr>
                <w:rFonts w:ascii="Calibri" w:hAnsi="Calibri"/>
                <w:i/>
                <w:iCs/>
                <w:sz w:val="20"/>
                <w:szCs w:val="20"/>
              </w:rPr>
            </w:pPr>
            <w:r>
              <w:rPr>
                <w:rFonts w:ascii="Calibri" w:hAnsi="Calibri"/>
                <w:i/>
                <w:iCs/>
                <w:sz w:val="20"/>
                <w:szCs w:val="20"/>
              </w:rPr>
              <w:t>Senior Marketing Communication Coordinator TOMRA Food, Compac, and BBC Technologies</w:t>
            </w:r>
          </w:p>
          <w:p w14:paraId="2B988BB0" w14:textId="77777777" w:rsidR="007B1886" w:rsidRDefault="007B1886" w:rsidP="00B617DE">
            <w:pPr>
              <w:jc w:val="both"/>
              <w:rPr>
                <w:rFonts w:ascii="Calibri" w:hAnsi="Calibri"/>
                <w:i/>
                <w:iCs/>
                <w:sz w:val="20"/>
                <w:szCs w:val="20"/>
                <w:lang w:val="nl-BE"/>
              </w:rPr>
            </w:pPr>
            <w:r>
              <w:rPr>
                <w:rFonts w:ascii="Calibri" w:hAnsi="Calibri"/>
                <w:i/>
                <w:iCs/>
                <w:sz w:val="20"/>
                <w:szCs w:val="20"/>
                <w:lang w:val="nl-BE"/>
              </w:rPr>
              <w:t xml:space="preserve">Research Park Haasrode 1622 – Romeinse straat 20 </w:t>
            </w:r>
          </w:p>
          <w:p w14:paraId="1633A84C" w14:textId="77777777" w:rsidR="007B1886" w:rsidRPr="003C313E" w:rsidRDefault="007B1886" w:rsidP="00B617DE">
            <w:pPr>
              <w:jc w:val="both"/>
              <w:rPr>
                <w:rFonts w:ascii="Calibri" w:hAnsi="Calibri"/>
                <w:i/>
                <w:iCs/>
                <w:sz w:val="20"/>
                <w:szCs w:val="20"/>
                <w:lang w:val="fr-FR"/>
              </w:rPr>
            </w:pPr>
            <w:r w:rsidRPr="003C313E">
              <w:rPr>
                <w:rFonts w:ascii="Calibri" w:hAnsi="Calibri"/>
                <w:i/>
                <w:iCs/>
                <w:sz w:val="20"/>
                <w:szCs w:val="20"/>
                <w:lang w:val="fr-FR"/>
              </w:rPr>
              <w:t xml:space="preserve">3001 Leuven, </w:t>
            </w:r>
            <w:proofErr w:type="spellStart"/>
            <w:r w:rsidRPr="003C313E">
              <w:rPr>
                <w:rFonts w:ascii="Calibri" w:hAnsi="Calibri"/>
                <w:i/>
                <w:iCs/>
                <w:sz w:val="20"/>
                <w:szCs w:val="20"/>
                <w:lang w:val="fr-FR"/>
              </w:rPr>
              <w:t>Belgium</w:t>
            </w:r>
            <w:proofErr w:type="spellEnd"/>
          </w:p>
          <w:p w14:paraId="56CC186A" w14:textId="77777777" w:rsidR="007B1886" w:rsidRPr="003C313E" w:rsidRDefault="007B1886" w:rsidP="00B617DE">
            <w:pPr>
              <w:jc w:val="both"/>
              <w:rPr>
                <w:rFonts w:ascii="Calibri" w:hAnsi="Calibri"/>
                <w:i/>
                <w:iCs/>
                <w:sz w:val="20"/>
                <w:szCs w:val="20"/>
                <w:lang w:val="fr-FR"/>
              </w:rPr>
            </w:pPr>
            <w:proofErr w:type="gramStart"/>
            <w:r w:rsidRPr="003C313E">
              <w:rPr>
                <w:rFonts w:ascii="Calibri" w:hAnsi="Calibri"/>
                <w:i/>
                <w:iCs/>
                <w:sz w:val="20"/>
                <w:szCs w:val="20"/>
                <w:lang w:val="fr-FR"/>
              </w:rPr>
              <w:t>T:</w:t>
            </w:r>
            <w:proofErr w:type="gramEnd"/>
            <w:r w:rsidRPr="003C313E">
              <w:rPr>
                <w:rFonts w:ascii="Calibri" w:hAnsi="Calibri"/>
                <w:i/>
                <w:iCs/>
                <w:sz w:val="20"/>
                <w:szCs w:val="20"/>
                <w:lang w:val="fr-FR"/>
              </w:rPr>
              <w:t xml:space="preserve"> +32 (0)16 74 28 17 M: +32 (0)476 74 19 18</w:t>
            </w:r>
          </w:p>
          <w:p w14:paraId="6ED18C2C" w14:textId="77777777" w:rsidR="007B1886" w:rsidRPr="003C313E" w:rsidRDefault="007B1886" w:rsidP="00B617DE">
            <w:pPr>
              <w:jc w:val="both"/>
              <w:rPr>
                <w:rFonts w:ascii="Calibri" w:hAnsi="Calibri"/>
                <w:i/>
                <w:iCs/>
                <w:sz w:val="20"/>
                <w:szCs w:val="20"/>
                <w:lang w:val="fr-FR"/>
              </w:rPr>
            </w:pPr>
            <w:proofErr w:type="gramStart"/>
            <w:r w:rsidRPr="003C313E">
              <w:rPr>
                <w:rFonts w:ascii="Calibri" w:hAnsi="Calibri"/>
                <w:i/>
                <w:iCs/>
                <w:sz w:val="20"/>
                <w:szCs w:val="20"/>
                <w:lang w:val="fr-FR"/>
              </w:rPr>
              <w:t>E:</w:t>
            </w:r>
            <w:proofErr w:type="gramEnd"/>
            <w:r w:rsidRPr="003C313E">
              <w:rPr>
                <w:rStyle w:val="apple-converted-space"/>
                <w:rFonts w:ascii="Calibri" w:hAnsi="Calibri"/>
                <w:i/>
                <w:iCs/>
                <w:sz w:val="20"/>
                <w:szCs w:val="20"/>
                <w:lang w:val="fr-FR"/>
              </w:rPr>
              <w:t> </w:t>
            </w:r>
            <w:hyperlink r:id="rId12" w:history="1">
              <w:r w:rsidRPr="003C313E">
                <w:rPr>
                  <w:rStyle w:val="Hyperlink"/>
                  <w:rFonts w:ascii="Calibri" w:hAnsi="Calibri"/>
                  <w:i/>
                  <w:iCs/>
                  <w:color w:val="954F72"/>
                  <w:sz w:val="20"/>
                  <w:szCs w:val="20"/>
                  <w:lang w:val="fr-FR"/>
                </w:rPr>
                <w:t>marijke.bellemans@tomra.com</w:t>
              </w:r>
            </w:hyperlink>
            <w:r w:rsidRPr="003C313E">
              <w:rPr>
                <w:rStyle w:val="apple-converted-space"/>
                <w:rFonts w:ascii="Calibri" w:hAnsi="Calibri"/>
                <w:i/>
                <w:iCs/>
                <w:sz w:val="20"/>
                <w:szCs w:val="20"/>
                <w:lang w:val="fr-FR"/>
              </w:rPr>
              <w:t> </w:t>
            </w:r>
          </w:p>
          <w:p w14:paraId="77FB62E0" w14:textId="77777777" w:rsidR="007B1886" w:rsidRPr="003D526E" w:rsidRDefault="007B1886" w:rsidP="00B617DE">
            <w:pPr>
              <w:jc w:val="both"/>
              <w:rPr>
                <w:rFonts w:ascii="Calibri" w:hAnsi="Calibri"/>
                <w:i/>
                <w:iCs/>
                <w:sz w:val="20"/>
                <w:szCs w:val="20"/>
              </w:rPr>
            </w:pPr>
            <w:r w:rsidRPr="003D526E">
              <w:rPr>
                <w:rFonts w:ascii="Calibri" w:hAnsi="Calibri"/>
                <w:i/>
                <w:iCs/>
                <w:sz w:val="20"/>
                <w:szCs w:val="20"/>
              </w:rPr>
              <w:t xml:space="preserve">W: </w:t>
            </w:r>
            <w:hyperlink r:id="rId13" w:history="1">
              <w:r w:rsidRPr="003D526E">
                <w:rPr>
                  <w:rStyle w:val="Hyperlink"/>
                  <w:rFonts w:ascii="Calibri" w:hAnsi="Calibri"/>
                  <w:i/>
                  <w:sz w:val="20"/>
                  <w:szCs w:val="20"/>
                </w:rPr>
                <w:t>www.tomra.com/food</w:t>
              </w:r>
            </w:hyperlink>
          </w:p>
        </w:tc>
      </w:tr>
    </w:tbl>
    <w:p w14:paraId="4D50A9E5" w14:textId="77777777" w:rsidR="007B1886" w:rsidRPr="003D526E" w:rsidRDefault="007B1886" w:rsidP="00B617DE">
      <w:pPr>
        <w:spacing w:after="0" w:line="240" w:lineRule="auto"/>
        <w:jc w:val="both"/>
        <w:rPr>
          <w:rStyle w:val="Hyperlink"/>
          <w:rFonts w:cstheme="minorHAnsi"/>
          <w:i/>
          <w:iCs/>
          <w:color w:val="auto"/>
        </w:rPr>
      </w:pPr>
    </w:p>
    <w:p w14:paraId="5181A48A" w14:textId="77777777" w:rsidR="007B1886" w:rsidRPr="00DB6E37" w:rsidRDefault="007B1886" w:rsidP="00B617DE">
      <w:pPr>
        <w:spacing w:after="0" w:line="240" w:lineRule="auto"/>
        <w:jc w:val="both"/>
        <w:rPr>
          <w:rStyle w:val="Hyperlink"/>
          <w:rFonts w:cstheme="minorHAnsi"/>
          <w:i/>
          <w:iCs/>
          <w:color w:val="auto"/>
        </w:rPr>
      </w:pPr>
    </w:p>
    <w:p w14:paraId="75922E8D" w14:textId="77777777" w:rsidR="007B1886" w:rsidRPr="00435AD2" w:rsidRDefault="007B1886" w:rsidP="00B617DE">
      <w:pPr>
        <w:spacing w:after="100" w:afterAutospacing="1" w:line="360" w:lineRule="auto"/>
        <w:jc w:val="both"/>
        <w:rPr>
          <w:rFonts w:eastAsia="Calibri" w:cstheme="minorHAnsi"/>
        </w:rPr>
      </w:pPr>
    </w:p>
    <w:sectPr w:rsidR="007B1886" w:rsidRPr="00435AD2" w:rsidSect="0037423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F7F5" w14:textId="77777777" w:rsidR="007B5AAB" w:rsidRDefault="007B5AAB" w:rsidP="009F2280">
      <w:pPr>
        <w:spacing w:after="0" w:line="240" w:lineRule="auto"/>
      </w:pPr>
      <w:r>
        <w:separator/>
      </w:r>
    </w:p>
  </w:endnote>
  <w:endnote w:type="continuationSeparator" w:id="0">
    <w:p w14:paraId="3A9AB06F" w14:textId="77777777" w:rsidR="007B5AAB" w:rsidRDefault="007B5AAB" w:rsidP="009F2280">
      <w:pPr>
        <w:spacing w:after="0" w:line="240" w:lineRule="auto"/>
      </w:pPr>
      <w:r>
        <w:continuationSeparator/>
      </w:r>
    </w:p>
  </w:endnote>
  <w:endnote w:type="continuationNotice" w:id="1">
    <w:p w14:paraId="5CF154CA" w14:textId="77777777" w:rsidR="007B5AAB" w:rsidRDefault="007B5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66D9" w14:textId="77777777" w:rsidR="007B5AAB" w:rsidRDefault="007B5AAB" w:rsidP="009F2280">
      <w:pPr>
        <w:spacing w:after="0" w:line="240" w:lineRule="auto"/>
      </w:pPr>
      <w:r>
        <w:separator/>
      </w:r>
    </w:p>
  </w:footnote>
  <w:footnote w:type="continuationSeparator" w:id="0">
    <w:p w14:paraId="4824E9E2" w14:textId="77777777" w:rsidR="007B5AAB" w:rsidRDefault="007B5AAB" w:rsidP="009F2280">
      <w:pPr>
        <w:spacing w:after="0" w:line="240" w:lineRule="auto"/>
      </w:pPr>
      <w:r>
        <w:continuationSeparator/>
      </w:r>
    </w:p>
  </w:footnote>
  <w:footnote w:type="continuationNotice" w:id="1">
    <w:p w14:paraId="268718E6" w14:textId="77777777" w:rsidR="007B5AAB" w:rsidRDefault="007B5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04A2" w14:textId="4A04C3C3" w:rsidR="009F2280" w:rsidRPr="002E1E1C" w:rsidRDefault="00101029">
    <w:pPr>
      <w:pStyle w:val="Header"/>
      <w:rPr>
        <w:b/>
        <w:sz w:val="28"/>
      </w:rPr>
    </w:pPr>
    <w:r w:rsidRPr="002E1E1C">
      <w:rPr>
        <w:b/>
        <w:noProof/>
        <w:sz w:val="28"/>
        <w:lang w:val="es-ES" w:eastAsia="es-ES"/>
      </w:rPr>
      <w:drawing>
        <wp:inline distT="0" distB="0" distL="0" distR="0" wp14:anchorId="5CFFA609" wp14:editId="38A3A7A7">
          <wp:extent cx="131564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326268" cy="460890"/>
                  </a:xfrm>
                  <a:prstGeom prst="rect">
                    <a:avLst/>
                  </a:prstGeom>
                </pic:spPr>
              </pic:pic>
            </a:graphicData>
          </a:graphic>
        </wp:inline>
      </w:drawing>
    </w:r>
    <w:r w:rsidR="009F2280" w:rsidRPr="002E1E1C">
      <w:rPr>
        <w:b/>
        <w:sz w:val="28"/>
      </w:rPr>
      <w:ptab w:relativeTo="margin" w:alignment="center" w:leader="none"/>
    </w:r>
    <w:r w:rsidR="009F2280" w:rsidRPr="002E1E1C">
      <w:rPr>
        <w:b/>
        <w:sz w:val="28"/>
      </w:rPr>
      <w:ptab w:relativeTo="margin" w:alignment="right" w:leader="none"/>
    </w:r>
    <w:r w:rsidR="0037423D" w:rsidRPr="002E1E1C">
      <w:rPr>
        <w:rStyle w:val="SubtitleChar"/>
      </w:rPr>
      <w:t>Press r</w:t>
    </w:r>
    <w:r w:rsidR="009F2280" w:rsidRPr="002E1E1C">
      <w:rPr>
        <w:rStyle w:val="SubtitleChar"/>
      </w:rPr>
      <w:t>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23"/>
    <w:rsid w:val="0000513F"/>
    <w:rsid w:val="00020032"/>
    <w:rsid w:val="00020191"/>
    <w:rsid w:val="00025117"/>
    <w:rsid w:val="00032130"/>
    <w:rsid w:val="00052EF3"/>
    <w:rsid w:val="000628BC"/>
    <w:rsid w:val="00086E52"/>
    <w:rsid w:val="000A06C1"/>
    <w:rsid w:val="000A76A6"/>
    <w:rsid w:val="000E30DE"/>
    <w:rsid w:val="000E7D6E"/>
    <w:rsid w:val="000F1C26"/>
    <w:rsid w:val="000F5802"/>
    <w:rsid w:val="000F7D4E"/>
    <w:rsid w:val="00100E60"/>
    <w:rsid w:val="00101029"/>
    <w:rsid w:val="0010410A"/>
    <w:rsid w:val="001054A8"/>
    <w:rsid w:val="00114175"/>
    <w:rsid w:val="00114B39"/>
    <w:rsid w:val="00124582"/>
    <w:rsid w:val="0012578F"/>
    <w:rsid w:val="00127972"/>
    <w:rsid w:val="0013511B"/>
    <w:rsid w:val="00141BEB"/>
    <w:rsid w:val="00143E4E"/>
    <w:rsid w:val="00152C64"/>
    <w:rsid w:val="001601FB"/>
    <w:rsid w:val="00161053"/>
    <w:rsid w:val="001628C0"/>
    <w:rsid w:val="00183414"/>
    <w:rsid w:val="00194EDC"/>
    <w:rsid w:val="001A4127"/>
    <w:rsid w:val="001A67BC"/>
    <w:rsid w:val="001B171A"/>
    <w:rsid w:val="001C3505"/>
    <w:rsid w:val="001D0FE1"/>
    <w:rsid w:val="001D2473"/>
    <w:rsid w:val="001F19AC"/>
    <w:rsid w:val="001F23AB"/>
    <w:rsid w:val="0020451B"/>
    <w:rsid w:val="00205113"/>
    <w:rsid w:val="002064E7"/>
    <w:rsid w:val="00206664"/>
    <w:rsid w:val="002222F2"/>
    <w:rsid w:val="00231AFD"/>
    <w:rsid w:val="002417A3"/>
    <w:rsid w:val="00244AD2"/>
    <w:rsid w:val="0025281E"/>
    <w:rsid w:val="00283842"/>
    <w:rsid w:val="00283B43"/>
    <w:rsid w:val="00284618"/>
    <w:rsid w:val="00294449"/>
    <w:rsid w:val="00294990"/>
    <w:rsid w:val="002B2336"/>
    <w:rsid w:val="002B3453"/>
    <w:rsid w:val="002B49DC"/>
    <w:rsid w:val="002B7137"/>
    <w:rsid w:val="002C3056"/>
    <w:rsid w:val="002C699A"/>
    <w:rsid w:val="002C6A83"/>
    <w:rsid w:val="002D0329"/>
    <w:rsid w:val="002E1E1C"/>
    <w:rsid w:val="002E5218"/>
    <w:rsid w:val="002F6878"/>
    <w:rsid w:val="0030047C"/>
    <w:rsid w:val="00303E8E"/>
    <w:rsid w:val="003175D9"/>
    <w:rsid w:val="00345D71"/>
    <w:rsid w:val="00347E85"/>
    <w:rsid w:val="00351FAC"/>
    <w:rsid w:val="00363281"/>
    <w:rsid w:val="003731CC"/>
    <w:rsid w:val="0037423D"/>
    <w:rsid w:val="00377A90"/>
    <w:rsid w:val="00391594"/>
    <w:rsid w:val="00396D4E"/>
    <w:rsid w:val="003A0AF9"/>
    <w:rsid w:val="003B04F3"/>
    <w:rsid w:val="003C753E"/>
    <w:rsid w:val="003D44C2"/>
    <w:rsid w:val="003D526E"/>
    <w:rsid w:val="003E2A25"/>
    <w:rsid w:val="003F0B65"/>
    <w:rsid w:val="003F57ED"/>
    <w:rsid w:val="003F6285"/>
    <w:rsid w:val="00403158"/>
    <w:rsid w:val="00410AAC"/>
    <w:rsid w:val="0042742B"/>
    <w:rsid w:val="00432596"/>
    <w:rsid w:val="004358F6"/>
    <w:rsid w:val="00435AD2"/>
    <w:rsid w:val="00452B50"/>
    <w:rsid w:val="004577C2"/>
    <w:rsid w:val="0046714E"/>
    <w:rsid w:val="004701B6"/>
    <w:rsid w:val="00487F57"/>
    <w:rsid w:val="0049121E"/>
    <w:rsid w:val="00494258"/>
    <w:rsid w:val="00497E4C"/>
    <w:rsid w:val="004C4BE1"/>
    <w:rsid w:val="004C6C6C"/>
    <w:rsid w:val="004D08E1"/>
    <w:rsid w:val="004E1B32"/>
    <w:rsid w:val="004E4121"/>
    <w:rsid w:val="00501BC8"/>
    <w:rsid w:val="00503313"/>
    <w:rsid w:val="0051448B"/>
    <w:rsid w:val="005235B1"/>
    <w:rsid w:val="005413CC"/>
    <w:rsid w:val="00541687"/>
    <w:rsid w:val="00546FFB"/>
    <w:rsid w:val="00550344"/>
    <w:rsid w:val="0055753D"/>
    <w:rsid w:val="00564E43"/>
    <w:rsid w:val="00565D48"/>
    <w:rsid w:val="00574100"/>
    <w:rsid w:val="00590B56"/>
    <w:rsid w:val="005948DC"/>
    <w:rsid w:val="005B1262"/>
    <w:rsid w:val="005B7F6D"/>
    <w:rsid w:val="005D69CD"/>
    <w:rsid w:val="005D7324"/>
    <w:rsid w:val="005E0ED1"/>
    <w:rsid w:val="005E1DAC"/>
    <w:rsid w:val="005F0E23"/>
    <w:rsid w:val="005F6A95"/>
    <w:rsid w:val="00600902"/>
    <w:rsid w:val="00614A3A"/>
    <w:rsid w:val="006213DA"/>
    <w:rsid w:val="00633B4F"/>
    <w:rsid w:val="00636346"/>
    <w:rsid w:val="00636BFC"/>
    <w:rsid w:val="006609D8"/>
    <w:rsid w:val="00663DB8"/>
    <w:rsid w:val="0067162C"/>
    <w:rsid w:val="006732DF"/>
    <w:rsid w:val="00675703"/>
    <w:rsid w:val="006836F0"/>
    <w:rsid w:val="0068783E"/>
    <w:rsid w:val="00695101"/>
    <w:rsid w:val="006959C4"/>
    <w:rsid w:val="006B057B"/>
    <w:rsid w:val="006C3FDB"/>
    <w:rsid w:val="006C7E6C"/>
    <w:rsid w:val="006D61C2"/>
    <w:rsid w:val="006E0B72"/>
    <w:rsid w:val="006F7A70"/>
    <w:rsid w:val="006F7A99"/>
    <w:rsid w:val="007006BE"/>
    <w:rsid w:val="00711B2B"/>
    <w:rsid w:val="00713390"/>
    <w:rsid w:val="00713F91"/>
    <w:rsid w:val="007222BC"/>
    <w:rsid w:val="00736F56"/>
    <w:rsid w:val="007432C5"/>
    <w:rsid w:val="007626E6"/>
    <w:rsid w:val="007648B1"/>
    <w:rsid w:val="00787F77"/>
    <w:rsid w:val="00793A0B"/>
    <w:rsid w:val="00793B9F"/>
    <w:rsid w:val="00794F50"/>
    <w:rsid w:val="00796FB4"/>
    <w:rsid w:val="007B1886"/>
    <w:rsid w:val="007B55AD"/>
    <w:rsid w:val="007B5AAB"/>
    <w:rsid w:val="007D2286"/>
    <w:rsid w:val="007E38B5"/>
    <w:rsid w:val="00806B20"/>
    <w:rsid w:val="00806DC7"/>
    <w:rsid w:val="00806E26"/>
    <w:rsid w:val="0081191D"/>
    <w:rsid w:val="008208BB"/>
    <w:rsid w:val="008254E3"/>
    <w:rsid w:val="0084386A"/>
    <w:rsid w:val="00850DDE"/>
    <w:rsid w:val="00863C30"/>
    <w:rsid w:val="00870852"/>
    <w:rsid w:val="00871B5D"/>
    <w:rsid w:val="00897555"/>
    <w:rsid w:val="008A3929"/>
    <w:rsid w:val="008B02B9"/>
    <w:rsid w:val="008C47DC"/>
    <w:rsid w:val="008C7C4A"/>
    <w:rsid w:val="008D0307"/>
    <w:rsid w:val="008E3AAB"/>
    <w:rsid w:val="008E7008"/>
    <w:rsid w:val="008F362C"/>
    <w:rsid w:val="00911D32"/>
    <w:rsid w:val="00913CDC"/>
    <w:rsid w:val="00920244"/>
    <w:rsid w:val="00923AAD"/>
    <w:rsid w:val="00932802"/>
    <w:rsid w:val="0094524D"/>
    <w:rsid w:val="009574CE"/>
    <w:rsid w:val="009578B0"/>
    <w:rsid w:val="00960ACF"/>
    <w:rsid w:val="0096600A"/>
    <w:rsid w:val="00975C2A"/>
    <w:rsid w:val="00985FD6"/>
    <w:rsid w:val="009B7991"/>
    <w:rsid w:val="009D3B89"/>
    <w:rsid w:val="009E4BA1"/>
    <w:rsid w:val="009F2280"/>
    <w:rsid w:val="00A0632B"/>
    <w:rsid w:val="00A1721E"/>
    <w:rsid w:val="00A261BE"/>
    <w:rsid w:val="00A33237"/>
    <w:rsid w:val="00A5493A"/>
    <w:rsid w:val="00A95809"/>
    <w:rsid w:val="00AA5250"/>
    <w:rsid w:val="00AB19D0"/>
    <w:rsid w:val="00AC3757"/>
    <w:rsid w:val="00AC603E"/>
    <w:rsid w:val="00AD3AB1"/>
    <w:rsid w:val="00AE09EF"/>
    <w:rsid w:val="00B165FE"/>
    <w:rsid w:val="00B21187"/>
    <w:rsid w:val="00B25A3C"/>
    <w:rsid w:val="00B303A6"/>
    <w:rsid w:val="00B337DE"/>
    <w:rsid w:val="00B408F4"/>
    <w:rsid w:val="00B617DE"/>
    <w:rsid w:val="00B63E67"/>
    <w:rsid w:val="00B7756D"/>
    <w:rsid w:val="00B82C71"/>
    <w:rsid w:val="00B842D7"/>
    <w:rsid w:val="00B9428D"/>
    <w:rsid w:val="00B94D6C"/>
    <w:rsid w:val="00B964F4"/>
    <w:rsid w:val="00BA4111"/>
    <w:rsid w:val="00BC1D71"/>
    <w:rsid w:val="00BC65D9"/>
    <w:rsid w:val="00BD39B2"/>
    <w:rsid w:val="00BE1F63"/>
    <w:rsid w:val="00C02A3A"/>
    <w:rsid w:val="00C030E3"/>
    <w:rsid w:val="00C17E8C"/>
    <w:rsid w:val="00C474C8"/>
    <w:rsid w:val="00C6256C"/>
    <w:rsid w:val="00C662F8"/>
    <w:rsid w:val="00C728F2"/>
    <w:rsid w:val="00C87994"/>
    <w:rsid w:val="00C94AAE"/>
    <w:rsid w:val="00C94F86"/>
    <w:rsid w:val="00CA44D9"/>
    <w:rsid w:val="00CA5B1C"/>
    <w:rsid w:val="00CB7AF4"/>
    <w:rsid w:val="00CD202F"/>
    <w:rsid w:val="00CE7F4C"/>
    <w:rsid w:val="00D13029"/>
    <w:rsid w:val="00D1355A"/>
    <w:rsid w:val="00D15CC5"/>
    <w:rsid w:val="00D17B52"/>
    <w:rsid w:val="00D26528"/>
    <w:rsid w:val="00D2662F"/>
    <w:rsid w:val="00D32FD6"/>
    <w:rsid w:val="00D406B4"/>
    <w:rsid w:val="00D40D35"/>
    <w:rsid w:val="00D417B7"/>
    <w:rsid w:val="00D4403F"/>
    <w:rsid w:val="00D45737"/>
    <w:rsid w:val="00D540E2"/>
    <w:rsid w:val="00D863F0"/>
    <w:rsid w:val="00D87D40"/>
    <w:rsid w:val="00D906BC"/>
    <w:rsid w:val="00DB095D"/>
    <w:rsid w:val="00DB6E37"/>
    <w:rsid w:val="00DC0E3F"/>
    <w:rsid w:val="00DC2727"/>
    <w:rsid w:val="00DD10BE"/>
    <w:rsid w:val="00DE7D8B"/>
    <w:rsid w:val="00E0380E"/>
    <w:rsid w:val="00E108F9"/>
    <w:rsid w:val="00E324C7"/>
    <w:rsid w:val="00E44907"/>
    <w:rsid w:val="00E525AE"/>
    <w:rsid w:val="00E63358"/>
    <w:rsid w:val="00E83A0D"/>
    <w:rsid w:val="00E843AF"/>
    <w:rsid w:val="00E8531D"/>
    <w:rsid w:val="00E9232A"/>
    <w:rsid w:val="00E9613A"/>
    <w:rsid w:val="00EA2CD0"/>
    <w:rsid w:val="00EA68F0"/>
    <w:rsid w:val="00EC6729"/>
    <w:rsid w:val="00EE1BB0"/>
    <w:rsid w:val="00EF255D"/>
    <w:rsid w:val="00F05713"/>
    <w:rsid w:val="00F10364"/>
    <w:rsid w:val="00F123FC"/>
    <w:rsid w:val="00F2362E"/>
    <w:rsid w:val="00F236FB"/>
    <w:rsid w:val="00F27253"/>
    <w:rsid w:val="00F27B0D"/>
    <w:rsid w:val="00F41423"/>
    <w:rsid w:val="00F44C12"/>
    <w:rsid w:val="00F57304"/>
    <w:rsid w:val="00F73EBE"/>
    <w:rsid w:val="00F77DD8"/>
    <w:rsid w:val="00F82D39"/>
    <w:rsid w:val="00F8526A"/>
    <w:rsid w:val="00F87F19"/>
    <w:rsid w:val="00FA1D4F"/>
    <w:rsid w:val="00FB7B7F"/>
    <w:rsid w:val="00FD672A"/>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9BB8"/>
  <w15:docId w15:val="{57A55606-FFFF-2846-ABF1-6259D4B9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62F8"/>
    <w:pPr>
      <w:spacing w:before="100" w:beforeAutospacing="1" w:after="100" w:afterAutospacing="1" w:line="240" w:lineRule="auto"/>
      <w:outlineLvl w:val="0"/>
    </w:pPr>
    <w:rPr>
      <w:rFonts w:ascii="Calibri" w:hAnsi="Calibri" w:cs="Calibri"/>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6F0"/>
    <w:rPr>
      <w:color w:val="0563C1" w:themeColor="hyperlink"/>
      <w:u w:val="single"/>
    </w:rPr>
  </w:style>
  <w:style w:type="paragraph" w:styleId="Header">
    <w:name w:val="header"/>
    <w:basedOn w:val="Normal"/>
    <w:link w:val="HeaderChar"/>
    <w:uiPriority w:val="99"/>
    <w:unhideWhenUsed/>
    <w:rsid w:val="009F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80"/>
  </w:style>
  <w:style w:type="paragraph" w:styleId="Footer">
    <w:name w:val="footer"/>
    <w:basedOn w:val="Normal"/>
    <w:link w:val="FooterChar"/>
    <w:uiPriority w:val="99"/>
    <w:unhideWhenUsed/>
    <w:rsid w:val="009F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80"/>
  </w:style>
  <w:style w:type="character" w:customStyle="1" w:styleId="apple-converted-space">
    <w:name w:val="apple-converted-space"/>
    <w:basedOn w:val="DefaultParagraphFont"/>
    <w:rsid w:val="009F2280"/>
  </w:style>
  <w:style w:type="character" w:styleId="CommentReference">
    <w:name w:val="annotation reference"/>
    <w:basedOn w:val="DefaultParagraphFont"/>
    <w:uiPriority w:val="99"/>
    <w:semiHidden/>
    <w:unhideWhenUsed/>
    <w:rsid w:val="004701B6"/>
    <w:rPr>
      <w:sz w:val="16"/>
      <w:szCs w:val="16"/>
    </w:rPr>
  </w:style>
  <w:style w:type="paragraph" w:styleId="CommentText">
    <w:name w:val="annotation text"/>
    <w:basedOn w:val="Normal"/>
    <w:link w:val="CommentTextChar"/>
    <w:uiPriority w:val="99"/>
    <w:semiHidden/>
    <w:unhideWhenUsed/>
    <w:rsid w:val="004701B6"/>
    <w:pPr>
      <w:spacing w:line="240" w:lineRule="auto"/>
    </w:pPr>
    <w:rPr>
      <w:sz w:val="20"/>
      <w:szCs w:val="20"/>
    </w:rPr>
  </w:style>
  <w:style w:type="character" w:customStyle="1" w:styleId="CommentTextChar">
    <w:name w:val="Comment Text Char"/>
    <w:basedOn w:val="DefaultParagraphFont"/>
    <w:link w:val="CommentText"/>
    <w:uiPriority w:val="99"/>
    <w:semiHidden/>
    <w:rsid w:val="004701B6"/>
    <w:rPr>
      <w:sz w:val="20"/>
      <w:szCs w:val="20"/>
    </w:rPr>
  </w:style>
  <w:style w:type="paragraph" w:styleId="CommentSubject">
    <w:name w:val="annotation subject"/>
    <w:basedOn w:val="CommentText"/>
    <w:next w:val="CommentText"/>
    <w:link w:val="CommentSubjectChar"/>
    <w:uiPriority w:val="99"/>
    <w:semiHidden/>
    <w:unhideWhenUsed/>
    <w:rsid w:val="004701B6"/>
    <w:rPr>
      <w:b/>
      <w:bCs/>
    </w:rPr>
  </w:style>
  <w:style w:type="character" w:customStyle="1" w:styleId="CommentSubjectChar">
    <w:name w:val="Comment Subject Char"/>
    <w:basedOn w:val="CommentTextChar"/>
    <w:link w:val="CommentSubject"/>
    <w:uiPriority w:val="99"/>
    <w:semiHidden/>
    <w:rsid w:val="004701B6"/>
    <w:rPr>
      <w:b/>
      <w:bCs/>
      <w:sz w:val="20"/>
      <w:szCs w:val="20"/>
    </w:rPr>
  </w:style>
  <w:style w:type="paragraph" w:styleId="BalloonText">
    <w:name w:val="Balloon Text"/>
    <w:basedOn w:val="Normal"/>
    <w:link w:val="BalloonTextChar"/>
    <w:uiPriority w:val="99"/>
    <w:semiHidden/>
    <w:unhideWhenUsed/>
    <w:rsid w:val="0047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B6"/>
    <w:rPr>
      <w:rFonts w:ascii="Segoe UI" w:hAnsi="Segoe UI" w:cs="Segoe UI"/>
      <w:sz w:val="18"/>
      <w:szCs w:val="18"/>
    </w:rPr>
  </w:style>
  <w:style w:type="character" w:styleId="FollowedHyperlink">
    <w:name w:val="FollowedHyperlink"/>
    <w:basedOn w:val="DefaultParagraphFont"/>
    <w:uiPriority w:val="99"/>
    <w:semiHidden/>
    <w:unhideWhenUsed/>
    <w:rsid w:val="00AC603E"/>
    <w:rPr>
      <w:color w:val="954F72" w:themeColor="followedHyperlink"/>
      <w:u w:val="single"/>
    </w:rPr>
  </w:style>
  <w:style w:type="character" w:customStyle="1" w:styleId="UnresolvedMention1">
    <w:name w:val="Unresolved Mention1"/>
    <w:basedOn w:val="DefaultParagraphFont"/>
    <w:uiPriority w:val="99"/>
    <w:semiHidden/>
    <w:unhideWhenUsed/>
    <w:rsid w:val="004358F6"/>
    <w:rPr>
      <w:color w:val="808080"/>
      <w:shd w:val="clear" w:color="auto" w:fill="E6E6E6"/>
    </w:rPr>
  </w:style>
  <w:style w:type="paragraph" w:styleId="Revision">
    <w:name w:val="Revision"/>
    <w:hidden/>
    <w:uiPriority w:val="99"/>
    <w:semiHidden/>
    <w:rsid w:val="00736F56"/>
    <w:pPr>
      <w:spacing w:after="0" w:line="240" w:lineRule="auto"/>
    </w:pPr>
  </w:style>
  <w:style w:type="paragraph" w:styleId="NoSpacing">
    <w:name w:val="No Spacing"/>
    <w:qFormat/>
    <w:rsid w:val="0037423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CD202F"/>
    <w:rPr>
      <w:b/>
      <w:bCs/>
    </w:rPr>
  </w:style>
  <w:style w:type="paragraph" w:styleId="ListParagraph">
    <w:name w:val="List Paragraph"/>
    <w:basedOn w:val="Normal"/>
    <w:uiPriority w:val="34"/>
    <w:qFormat/>
    <w:rsid w:val="00CA5B1C"/>
    <w:pPr>
      <w:ind w:left="720"/>
      <w:contextualSpacing/>
    </w:pPr>
  </w:style>
  <w:style w:type="table" w:styleId="TableGrid">
    <w:name w:val="Table Grid"/>
    <w:basedOn w:val="Table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2F8"/>
    <w:rPr>
      <w:rFonts w:ascii="Calibri" w:hAnsi="Calibri" w:cs="Calibri"/>
      <w:b/>
      <w:bCs/>
      <w:kern w:val="36"/>
      <w:sz w:val="48"/>
      <w:szCs w:val="48"/>
      <w:lang w:val="nl-BE" w:eastAsia="nl-BE"/>
    </w:rPr>
  </w:style>
  <w:style w:type="character" w:customStyle="1" w:styleId="hscoswrapper">
    <w:name w:val="hs_cos_wrapper"/>
    <w:basedOn w:val="DefaultParagraphFont"/>
    <w:rsid w:val="00C662F8"/>
  </w:style>
  <w:style w:type="character" w:customStyle="1" w:styleId="UnresolvedMention2">
    <w:name w:val="Unresolved Mention2"/>
    <w:basedOn w:val="DefaultParagraphFont"/>
    <w:uiPriority w:val="99"/>
    <w:semiHidden/>
    <w:unhideWhenUsed/>
    <w:rsid w:val="00377A90"/>
    <w:rPr>
      <w:color w:val="808080"/>
      <w:shd w:val="clear" w:color="auto" w:fill="E6E6E6"/>
    </w:rPr>
  </w:style>
  <w:style w:type="character" w:customStyle="1" w:styleId="UnresolvedMention3">
    <w:name w:val="Unresolved Mention3"/>
    <w:basedOn w:val="DefaultParagraphFont"/>
    <w:uiPriority w:val="99"/>
    <w:semiHidden/>
    <w:unhideWhenUsed/>
    <w:rsid w:val="003D526E"/>
    <w:rPr>
      <w:color w:val="605E5C"/>
      <w:shd w:val="clear" w:color="auto" w:fill="E1DFDD"/>
    </w:rPr>
  </w:style>
  <w:style w:type="paragraph" w:styleId="Subtitle">
    <w:name w:val="Subtitle"/>
    <w:basedOn w:val="Normal"/>
    <w:next w:val="Normal"/>
    <w:link w:val="SubtitleChar"/>
    <w:uiPriority w:val="11"/>
    <w:qFormat/>
    <w:rsid w:val="001010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029"/>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9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43877147">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ondconference.com/downloads/TAC2019_Agenda.pdf" TargetMode="External"/><Relationship Id="rId13" Type="http://schemas.openxmlformats.org/officeDocument/2006/relationships/hyperlink" Target="http://www.tomra.com/fo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jke.bellemans@tom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marti@alarconyharris.com" TargetMode="External"/><Relationship Id="rId4" Type="http://schemas.openxmlformats.org/officeDocument/2006/relationships/settings" Target="settings.xml"/><Relationship Id="rId9" Type="http://schemas.openxmlformats.org/officeDocument/2006/relationships/hyperlink" Target="http://www.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6388-1E60-4648-A3FA-08E9EA6D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Forth</dc:creator>
  <cp:keywords/>
  <dc:description/>
  <cp:lastModifiedBy>Silvia Ortiz Nin</cp:lastModifiedBy>
  <cp:revision>2</cp:revision>
  <cp:lastPrinted>2019-07-01T09:50:00Z</cp:lastPrinted>
  <dcterms:created xsi:type="dcterms:W3CDTF">2019-11-18T08:46:00Z</dcterms:created>
  <dcterms:modified xsi:type="dcterms:W3CDTF">2019-11-18T08:46:00Z</dcterms:modified>
</cp:coreProperties>
</file>