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02" w:rsidRPr="008457A2" w:rsidRDefault="005263D8" w:rsidP="00020BCA">
      <w:pPr>
        <w:jc w:val="both"/>
        <w:rPr>
          <w:b/>
          <w:sz w:val="22"/>
          <w:szCs w:val="22"/>
        </w:rPr>
      </w:pPr>
      <w:r w:rsidRPr="008457A2">
        <w:rPr>
          <w:b/>
          <w:sz w:val="22"/>
        </w:rPr>
        <w:t>Les chargeuses sur pneus </w:t>
      </w:r>
      <w:r w:rsidR="00BD590F" w:rsidRPr="008457A2">
        <w:rPr>
          <w:b/>
          <w:sz w:val="22"/>
        </w:rPr>
        <w:t>CASE S</w:t>
      </w:r>
      <w:r w:rsidRPr="008457A2">
        <w:rPr>
          <w:b/>
          <w:sz w:val="22"/>
        </w:rPr>
        <w:t>érie G assurent un niveau de confort inédit aux opérateurs</w:t>
      </w:r>
    </w:p>
    <w:p w:rsidR="00020BCA" w:rsidRPr="008457A2" w:rsidRDefault="00020BCA" w:rsidP="00020BCA">
      <w:pPr>
        <w:jc w:val="both"/>
        <w:rPr>
          <w:b/>
          <w:sz w:val="22"/>
          <w:szCs w:val="22"/>
        </w:rPr>
      </w:pPr>
    </w:p>
    <w:p w:rsidR="003274B1" w:rsidRPr="008457A2" w:rsidRDefault="00384F8C" w:rsidP="00020BCA">
      <w:pPr>
        <w:jc w:val="both"/>
        <w:rPr>
          <w:i/>
          <w:szCs w:val="19"/>
        </w:rPr>
      </w:pPr>
      <w:r w:rsidRPr="008457A2">
        <w:rPr>
          <w:i/>
        </w:rPr>
        <w:t xml:space="preserve">Conception révolutionnaire du pare-brise. Confort amélioré pour le plus silencieux des modèles de chargeuses sur pneus CASE. </w:t>
      </w:r>
    </w:p>
    <w:p w:rsidR="00020BCA" w:rsidRPr="008457A2" w:rsidRDefault="00020BCA" w:rsidP="00020BCA">
      <w:pPr>
        <w:pStyle w:val="01TESTO"/>
        <w:shd w:val="clear" w:color="auto" w:fill="FFFFFF" w:themeFill="background1"/>
        <w:jc w:val="both"/>
      </w:pPr>
    </w:p>
    <w:p w:rsidR="00020BCA" w:rsidRPr="008457A2" w:rsidRDefault="00020BCA" w:rsidP="00020BCA">
      <w:pPr>
        <w:pStyle w:val="01TESTO"/>
        <w:shd w:val="clear" w:color="auto" w:fill="FFFFFF" w:themeFill="background1"/>
        <w:jc w:val="both"/>
      </w:pPr>
    </w:p>
    <w:p w:rsidR="00F764A1" w:rsidRPr="008457A2" w:rsidRDefault="006818A1" w:rsidP="00020BCA">
      <w:pPr>
        <w:pStyle w:val="01TESTO"/>
        <w:shd w:val="clear" w:color="auto" w:fill="FFFFFF" w:themeFill="background1"/>
        <w:jc w:val="both"/>
      </w:pPr>
      <w:r w:rsidRPr="008457A2">
        <w:t>Turin, le 20 mars 2017</w:t>
      </w:r>
    </w:p>
    <w:p w:rsidR="00020BCA" w:rsidRPr="008457A2" w:rsidRDefault="00020BCA" w:rsidP="00020BCA">
      <w:pPr>
        <w:pStyle w:val="01TESTO"/>
        <w:shd w:val="clear" w:color="auto" w:fill="FFFFFF" w:themeFill="background1"/>
        <w:jc w:val="both"/>
        <w:rPr>
          <w:color w:val="000000" w:themeColor="text1"/>
        </w:rPr>
      </w:pPr>
    </w:p>
    <w:p w:rsidR="006818A1" w:rsidRPr="008457A2" w:rsidRDefault="0036572F" w:rsidP="00020BCA">
      <w:pPr>
        <w:pStyle w:val="01TESTO"/>
        <w:shd w:val="clear" w:color="auto" w:fill="FFFFFF" w:themeFill="background1"/>
        <w:jc w:val="both"/>
        <w:rPr>
          <w:color w:val="000000" w:themeColor="text1"/>
        </w:rPr>
      </w:pPr>
      <w:r w:rsidRPr="008457A2">
        <w:rPr>
          <w:color w:val="000000" w:themeColor="text1"/>
        </w:rPr>
        <w:t>CASE Construction Equipment lance aujourd'hui sa</w:t>
      </w:r>
      <w:r w:rsidR="009520F7" w:rsidRPr="008457A2">
        <w:rPr>
          <w:color w:val="000000" w:themeColor="text1"/>
        </w:rPr>
        <w:t xml:space="preserve"> gamme de chargeuses sur pneus S</w:t>
      </w:r>
      <w:r w:rsidRPr="008457A2">
        <w:rPr>
          <w:color w:val="000000" w:themeColor="text1"/>
        </w:rPr>
        <w:t xml:space="preserve">érie G. </w:t>
      </w:r>
      <w:r w:rsidR="001863D9" w:rsidRPr="008457A2">
        <w:rPr>
          <w:color w:val="000000" w:themeColor="text1"/>
        </w:rPr>
        <w:t>S</w:t>
      </w:r>
      <w:r w:rsidRPr="008457A2">
        <w:rPr>
          <w:color w:val="000000" w:themeColor="text1"/>
        </w:rPr>
        <w:t>es sept modèle</w:t>
      </w:r>
      <w:r w:rsidR="008457A2" w:rsidRPr="008457A2">
        <w:rPr>
          <w:color w:val="000000" w:themeColor="text1"/>
        </w:rPr>
        <w:t xml:space="preserve">s </w:t>
      </w:r>
      <w:r w:rsidRPr="008457A2">
        <w:rPr>
          <w:color w:val="000000" w:themeColor="text1"/>
        </w:rPr>
        <w:t>assure</w:t>
      </w:r>
      <w:r w:rsidR="001863D9" w:rsidRPr="008457A2">
        <w:rPr>
          <w:color w:val="000000" w:themeColor="text1"/>
        </w:rPr>
        <w:t>nt</w:t>
      </w:r>
      <w:r w:rsidRPr="008457A2">
        <w:rPr>
          <w:color w:val="000000" w:themeColor="text1"/>
        </w:rPr>
        <w:t xml:space="preserve"> un niveau de confort inédit aux opérateurs,</w:t>
      </w:r>
      <w:r w:rsidR="001863D9" w:rsidRPr="008457A2">
        <w:rPr>
          <w:color w:val="000000" w:themeColor="text1"/>
        </w:rPr>
        <w:t xml:space="preserve"> avec</w:t>
      </w:r>
      <w:r w:rsidRPr="008457A2">
        <w:rPr>
          <w:color w:val="000000" w:themeColor="text1"/>
        </w:rPr>
        <w:t xml:space="preserve"> la productivité et l'efficacité énergétique propre aux machines CASE. </w:t>
      </w:r>
    </w:p>
    <w:p w:rsidR="006818A1" w:rsidRPr="008457A2" w:rsidRDefault="006818A1" w:rsidP="00020BCA">
      <w:pPr>
        <w:pStyle w:val="01TESTO"/>
        <w:shd w:val="clear" w:color="auto" w:fill="FFFFFF" w:themeFill="background1"/>
        <w:jc w:val="both"/>
        <w:rPr>
          <w:color w:val="auto"/>
        </w:rPr>
      </w:pPr>
      <w:r w:rsidRPr="008457A2">
        <w:rPr>
          <w:color w:val="auto"/>
        </w:rPr>
        <w:t xml:space="preserve">Chacun des modèles de la </w:t>
      </w:r>
      <w:r w:rsidR="004E39F7" w:rsidRPr="008457A2">
        <w:rPr>
          <w:color w:val="auto"/>
        </w:rPr>
        <w:t>S</w:t>
      </w:r>
      <w:r w:rsidRPr="008457A2">
        <w:rPr>
          <w:color w:val="auto"/>
        </w:rPr>
        <w:t>érie G dispose des avantages suivants :</w:t>
      </w:r>
    </w:p>
    <w:p w:rsidR="00020BCA" w:rsidRPr="008457A2" w:rsidRDefault="00020BCA" w:rsidP="00020BCA">
      <w:pPr>
        <w:pStyle w:val="01TESTO"/>
        <w:shd w:val="clear" w:color="auto" w:fill="FFFFFF" w:themeFill="background1"/>
        <w:jc w:val="both"/>
        <w:rPr>
          <w:color w:val="auto"/>
        </w:rPr>
      </w:pPr>
    </w:p>
    <w:p w:rsidR="006818A1" w:rsidRPr="008457A2" w:rsidRDefault="006818A1" w:rsidP="00020BCA">
      <w:pPr>
        <w:pStyle w:val="01TESTO"/>
        <w:numPr>
          <w:ilvl w:val="0"/>
          <w:numId w:val="4"/>
        </w:numPr>
        <w:shd w:val="clear" w:color="auto" w:fill="FFFFFF" w:themeFill="background1"/>
        <w:jc w:val="both"/>
        <w:rPr>
          <w:color w:val="auto"/>
        </w:rPr>
      </w:pPr>
      <w:r w:rsidRPr="008457A2">
        <w:rPr>
          <w:color w:val="auto"/>
        </w:rPr>
        <w:t>Excellente visibilité grâce à des pare-brise de très grande taille</w:t>
      </w:r>
    </w:p>
    <w:p w:rsidR="006818A1" w:rsidRPr="008457A2" w:rsidRDefault="006818A1" w:rsidP="00020BCA">
      <w:pPr>
        <w:pStyle w:val="01TESTO"/>
        <w:numPr>
          <w:ilvl w:val="0"/>
          <w:numId w:val="4"/>
        </w:numPr>
        <w:shd w:val="clear" w:color="auto" w:fill="FFFFFF" w:themeFill="background1"/>
        <w:jc w:val="both"/>
        <w:rPr>
          <w:color w:val="auto"/>
        </w:rPr>
      </w:pPr>
      <w:r w:rsidRPr="008457A2">
        <w:rPr>
          <w:color w:val="auto"/>
        </w:rPr>
        <w:t>Confort accru de l'opérateur grâce à une interface de commande de qualité, une console montée sur le siège e</w:t>
      </w:r>
      <w:r w:rsidR="008457A2" w:rsidRPr="008457A2">
        <w:rPr>
          <w:color w:val="auto"/>
        </w:rPr>
        <w:t xml:space="preserve">t </w:t>
      </w:r>
      <w:r w:rsidRPr="008457A2">
        <w:rPr>
          <w:color w:val="auto"/>
        </w:rPr>
        <w:t xml:space="preserve">un nouveau </w:t>
      </w:r>
      <w:r w:rsidR="004E39F7" w:rsidRPr="008457A2">
        <w:rPr>
          <w:color w:val="auto"/>
        </w:rPr>
        <w:t xml:space="preserve">manipulateur </w:t>
      </w:r>
      <w:r w:rsidRPr="008457A2">
        <w:rPr>
          <w:color w:val="auto"/>
        </w:rPr>
        <w:t>de direction dont la sensibilité augmente avec la vitesse de la machine</w:t>
      </w:r>
    </w:p>
    <w:p w:rsidR="006818A1" w:rsidRPr="008457A2" w:rsidRDefault="0054109C" w:rsidP="00020BCA">
      <w:pPr>
        <w:pStyle w:val="01TESTO"/>
        <w:numPr>
          <w:ilvl w:val="0"/>
          <w:numId w:val="4"/>
        </w:numPr>
        <w:shd w:val="clear" w:color="auto" w:fill="FFFFFF" w:themeFill="background1"/>
        <w:jc w:val="both"/>
        <w:rPr>
          <w:color w:val="auto"/>
        </w:rPr>
      </w:pPr>
      <w:r w:rsidRPr="008457A2">
        <w:rPr>
          <w:color w:val="auto"/>
        </w:rPr>
        <w:t xml:space="preserve">Charge utile supérieure par rapport au poids pour une productivité maximale </w:t>
      </w:r>
    </w:p>
    <w:p w:rsidR="006818A1" w:rsidRPr="008457A2" w:rsidRDefault="006818A1" w:rsidP="00020BCA">
      <w:pPr>
        <w:pStyle w:val="01TESTO"/>
        <w:numPr>
          <w:ilvl w:val="0"/>
          <w:numId w:val="4"/>
        </w:numPr>
        <w:shd w:val="clear" w:color="auto" w:fill="FFFFFF" w:themeFill="background1"/>
        <w:jc w:val="both"/>
        <w:rPr>
          <w:color w:val="auto"/>
        </w:rPr>
      </w:pPr>
      <w:r w:rsidRPr="008457A2">
        <w:rPr>
          <w:color w:val="auto"/>
        </w:rPr>
        <w:t>Cabine pressurisée dotée de filtres HEPA et de filtres à charbon actif</w:t>
      </w:r>
      <w:r w:rsidR="00703B7A" w:rsidRPr="008457A2">
        <w:rPr>
          <w:color w:val="auto"/>
        </w:rPr>
        <w:t xml:space="preserve"> en option</w:t>
      </w:r>
    </w:p>
    <w:p w:rsidR="0054109C" w:rsidRPr="008457A2" w:rsidRDefault="0054109C" w:rsidP="00020BCA">
      <w:pPr>
        <w:pStyle w:val="01TESTO"/>
        <w:numPr>
          <w:ilvl w:val="0"/>
          <w:numId w:val="4"/>
        </w:numPr>
        <w:shd w:val="clear" w:color="auto" w:fill="FFFFFF" w:themeFill="background1"/>
        <w:jc w:val="both"/>
        <w:rPr>
          <w:color w:val="auto"/>
        </w:rPr>
      </w:pPr>
      <w:r w:rsidRPr="008457A2">
        <w:rPr>
          <w:color w:val="auto"/>
        </w:rPr>
        <w:t>Démarrage protégé par mot de passe, pour plus de sécurité</w:t>
      </w:r>
    </w:p>
    <w:p w:rsidR="0054109C" w:rsidRPr="008457A2" w:rsidRDefault="0054109C" w:rsidP="00020BCA">
      <w:pPr>
        <w:pStyle w:val="01TESTO"/>
        <w:numPr>
          <w:ilvl w:val="0"/>
          <w:numId w:val="4"/>
        </w:numPr>
        <w:shd w:val="clear" w:color="auto" w:fill="FFFFFF" w:themeFill="background1"/>
        <w:jc w:val="both"/>
        <w:rPr>
          <w:color w:val="auto"/>
        </w:rPr>
      </w:pPr>
      <w:r w:rsidRPr="008457A2">
        <w:rPr>
          <w:color w:val="auto"/>
        </w:rPr>
        <w:t>Nouvelles couleurs CASE Construction Equipment éclatantes</w:t>
      </w:r>
    </w:p>
    <w:p w:rsidR="006818A1" w:rsidRPr="008457A2" w:rsidRDefault="006818A1" w:rsidP="00020BCA">
      <w:pPr>
        <w:pStyle w:val="01TESTO"/>
        <w:shd w:val="clear" w:color="auto" w:fill="FFFFFF" w:themeFill="background1"/>
        <w:jc w:val="both"/>
      </w:pPr>
    </w:p>
    <w:p w:rsidR="00BC3615" w:rsidRPr="008457A2" w:rsidRDefault="00EA7E68" w:rsidP="00020BCA">
      <w:pPr>
        <w:pStyle w:val="01TESTO"/>
        <w:shd w:val="clear" w:color="auto" w:fill="FFFFFF" w:themeFill="background1"/>
        <w:jc w:val="both"/>
      </w:pPr>
      <w:r w:rsidRPr="008457A2">
        <w:t>CASE Construction Equipment a développé la cabine la plus silencieuse et la plus confortable du marché pour les sept modèles de charg</w:t>
      </w:r>
      <w:r w:rsidR="008A4B2F" w:rsidRPr="008457A2">
        <w:t>euses sur pneus de sa nouvelle S</w:t>
      </w:r>
      <w:r w:rsidRPr="008457A2">
        <w:t xml:space="preserve">érie G. Ces machines assurent aux opérateurs les meilleurs niveaux de visibilité et de contrôle possibles, tout en leur offrant un environnement de travail parfait pour plus de productivité. </w:t>
      </w:r>
    </w:p>
    <w:p w:rsidR="00A10523" w:rsidRDefault="00A10523" w:rsidP="00020BCA">
      <w:pPr>
        <w:pStyle w:val="01TESTO"/>
        <w:shd w:val="clear" w:color="auto" w:fill="FFFFFF" w:themeFill="background1"/>
        <w:jc w:val="both"/>
        <w:rPr>
          <w:color w:val="auto"/>
        </w:rPr>
      </w:pPr>
    </w:p>
    <w:p w:rsidR="00A61444" w:rsidRPr="008457A2" w:rsidRDefault="00A61444" w:rsidP="00020BCA">
      <w:pPr>
        <w:pStyle w:val="01TESTO"/>
        <w:shd w:val="clear" w:color="auto" w:fill="FFFFFF" w:themeFill="background1"/>
        <w:jc w:val="both"/>
        <w:rPr>
          <w:color w:val="auto"/>
        </w:rPr>
      </w:pPr>
      <w:r w:rsidRPr="008457A2">
        <w:rPr>
          <w:color w:val="auto"/>
        </w:rPr>
        <w:t xml:space="preserve">« L'année prochaine, nous fêterons le 60e anniversaire des chargeuses sur pneus de CASE Construction Equipment », indique Alain de Nanteuil, responsable produit CASE EMEA pour ce type de machines. « Au fil des années, chaque génération a apporté des innovations et des fonctionnalités nouvelles. Mais la toute dernière en date, la </w:t>
      </w:r>
      <w:r w:rsidR="008A4B2F" w:rsidRPr="008457A2">
        <w:rPr>
          <w:color w:val="auto"/>
        </w:rPr>
        <w:t>S</w:t>
      </w:r>
      <w:r w:rsidRPr="008457A2">
        <w:rPr>
          <w:color w:val="auto"/>
        </w:rPr>
        <w:t>érie G de chargeuses sur pneus de CASE Construction Equipment, représente la plus grande avancée de toutes. »</w:t>
      </w:r>
    </w:p>
    <w:p w:rsidR="00020BCA" w:rsidRPr="008457A2" w:rsidRDefault="00020BCA" w:rsidP="00020BCA">
      <w:pPr>
        <w:pStyle w:val="01TESTO"/>
        <w:shd w:val="clear" w:color="auto" w:fill="FFFFFF" w:themeFill="background1"/>
        <w:jc w:val="both"/>
        <w:rPr>
          <w:b/>
        </w:rPr>
      </w:pPr>
    </w:p>
    <w:p w:rsidR="00F04CEF" w:rsidRPr="008457A2" w:rsidRDefault="00F04CEF" w:rsidP="00020BCA">
      <w:pPr>
        <w:pStyle w:val="01TESTO"/>
        <w:shd w:val="clear" w:color="auto" w:fill="FFFFFF" w:themeFill="background1"/>
        <w:jc w:val="both"/>
        <w:rPr>
          <w:b/>
        </w:rPr>
      </w:pPr>
      <w:r w:rsidRPr="008457A2">
        <w:rPr>
          <w:b/>
        </w:rPr>
        <w:t>Une cabine révolutionnaire à pare-brise panoramique</w:t>
      </w:r>
    </w:p>
    <w:p w:rsidR="00E563B1" w:rsidRPr="008457A2" w:rsidRDefault="00BC3615" w:rsidP="00020BCA">
      <w:pPr>
        <w:pStyle w:val="01TESTO"/>
        <w:shd w:val="clear" w:color="auto" w:fill="FFFFFF" w:themeFill="background1"/>
        <w:jc w:val="both"/>
      </w:pPr>
      <w:r w:rsidRPr="008457A2">
        <w:t xml:space="preserve">La cabine d'une chargeuse sur pneus est à la fois un lieu de travail et de vie pour l'opérateur. Elle joue un rôle crucial dans son quotidien. Chaque conducteur passe une grande partie de sa journée </w:t>
      </w:r>
      <w:r w:rsidRPr="008457A2">
        <w:lastRenderedPageBreak/>
        <w:t xml:space="preserve">dans sa machine. Le confort de l'environnement de travail est donc un facteur de productivité essentiel. Depuis 1958, CASE Construction Equipment n'a cessé d'innover dans ce domaine. Les cabines des modèles de la </w:t>
      </w:r>
      <w:r w:rsidR="009300D8" w:rsidRPr="008457A2">
        <w:t>S</w:t>
      </w:r>
      <w:r w:rsidRPr="008457A2">
        <w:t xml:space="preserve">érie G ne dérogent pas à la règle, bien au contraire. Elles apportent de nombreuses améliorations : </w:t>
      </w:r>
      <w:r w:rsidR="0095766B" w:rsidRPr="008457A2">
        <w:t>pare-brise panoramique, interface de commande</w:t>
      </w:r>
      <w:r w:rsidR="009300D8" w:rsidRPr="008457A2">
        <w:t>s</w:t>
      </w:r>
      <w:r w:rsidR="0095766B" w:rsidRPr="008457A2">
        <w:t xml:space="preserve"> colorée et de qualité dotée d'un écran 8'', console de commande</w:t>
      </w:r>
      <w:r w:rsidR="009300D8" w:rsidRPr="008457A2">
        <w:t>s</w:t>
      </w:r>
      <w:r w:rsidR="0095766B" w:rsidRPr="008457A2">
        <w:t xml:space="preserve"> ajustable directement montée sur le siège, démarrage protégé par mot de passe et fonctions de réglage du godet automatisées, accessibles directement depuis l'intérieur. L'opérateur profite également de fonctions de commandes réactives et faciles d'utilisation, d'un siège à suspension active, et peut se connecter au réseau de téléphonie mobile en mode mains libres. </w:t>
      </w:r>
    </w:p>
    <w:p w:rsidR="00A10523" w:rsidRDefault="00A10523" w:rsidP="00020BCA">
      <w:pPr>
        <w:pStyle w:val="01TESTO"/>
        <w:shd w:val="clear" w:color="auto" w:fill="FFFFFF" w:themeFill="background1"/>
        <w:jc w:val="both"/>
      </w:pPr>
    </w:p>
    <w:p w:rsidR="00160298" w:rsidRPr="008457A2" w:rsidRDefault="00160298" w:rsidP="00020BCA">
      <w:pPr>
        <w:pStyle w:val="01TESTO"/>
        <w:shd w:val="clear" w:color="auto" w:fill="FFFFFF" w:themeFill="background1"/>
        <w:jc w:val="both"/>
      </w:pPr>
      <w:r w:rsidRPr="008457A2">
        <w:t xml:space="preserve">Héritières des célèbres chargeuses de la série F, déjà connues pour assurer une visibilité inégalée dans le secteur, les machines de la </w:t>
      </w:r>
      <w:r w:rsidR="00BD718A" w:rsidRPr="008457A2">
        <w:t>S</w:t>
      </w:r>
      <w:r w:rsidRPr="008457A2">
        <w:t xml:space="preserve">érie G possèdent une vitre avant incurvée, d'un seul tenant, qui garantit une vue parfaite dans toutes les directions. Elles sont en outre dotées d'un capot de moteur effilé, d'une vitre arrière chauffée et de nombreux rétroviseurs pour un niveau de visibilité avant et arrière encore jamais atteint. </w:t>
      </w:r>
    </w:p>
    <w:p w:rsidR="00020BCA" w:rsidRPr="008457A2" w:rsidRDefault="00020BCA" w:rsidP="00020BCA">
      <w:pPr>
        <w:pStyle w:val="01TESTO"/>
        <w:shd w:val="clear" w:color="auto" w:fill="FFFFFF" w:themeFill="background1"/>
        <w:jc w:val="both"/>
        <w:rPr>
          <w:b/>
        </w:rPr>
      </w:pPr>
    </w:p>
    <w:p w:rsidR="008C383A" w:rsidRPr="008457A2" w:rsidRDefault="00E563B1" w:rsidP="00020BCA">
      <w:pPr>
        <w:pStyle w:val="01TESTO"/>
        <w:shd w:val="clear" w:color="auto" w:fill="FFFFFF" w:themeFill="background1"/>
        <w:jc w:val="both"/>
        <w:rPr>
          <w:b/>
        </w:rPr>
      </w:pPr>
      <w:r w:rsidRPr="008457A2">
        <w:rPr>
          <w:b/>
        </w:rPr>
        <w:t>Réduction du bruit et amélioration de l'air ambiant</w:t>
      </w:r>
    </w:p>
    <w:p w:rsidR="00CF5319" w:rsidRPr="008457A2" w:rsidRDefault="0039732E" w:rsidP="00020BCA">
      <w:pPr>
        <w:pStyle w:val="01TESTO"/>
        <w:shd w:val="clear" w:color="auto" w:fill="FFFFFF" w:themeFill="background1"/>
        <w:jc w:val="both"/>
      </w:pPr>
      <w:r w:rsidRPr="008457A2">
        <w:t xml:space="preserve">À l'intérieur des cabines, le niveau sonore est inférieur de 2 dB à celui de la génération précédente de machines. Les modèles 521G à 821G affichent seulement 68 dB pour l'opérateur, et les modèles 921G à 1121G seulement 69 dB. Un nouveau record pour les chargeuses CASE ! Par ailleurs, les cabines sont équipées de systèmes de filtration et de recyclage de l'air, avec des cycles de remplacement des filtres plus longs que précédemment. Des </w:t>
      </w:r>
      <w:r w:rsidR="00BD718A" w:rsidRPr="008457A2">
        <w:rPr>
          <w:color w:val="auto"/>
        </w:rPr>
        <w:t xml:space="preserve">filtres à charbon actif </w:t>
      </w:r>
      <w:r w:rsidRPr="008457A2">
        <w:t xml:space="preserve">peuvent y être adaptés lorsque la machine est utilisée dans des conditions de travail rudes. </w:t>
      </w:r>
    </w:p>
    <w:p w:rsidR="00020BCA" w:rsidRPr="008457A2" w:rsidRDefault="00020BCA" w:rsidP="00020BCA">
      <w:pPr>
        <w:pStyle w:val="01TESTO"/>
        <w:shd w:val="clear" w:color="auto" w:fill="FFFFFF" w:themeFill="background1"/>
        <w:jc w:val="both"/>
        <w:rPr>
          <w:b/>
          <w:color w:val="auto"/>
        </w:rPr>
      </w:pPr>
    </w:p>
    <w:p w:rsidR="00E563B1" w:rsidRPr="008457A2" w:rsidRDefault="008C383A" w:rsidP="00020BCA">
      <w:pPr>
        <w:pStyle w:val="01TESTO"/>
        <w:shd w:val="clear" w:color="auto" w:fill="FFFFFF" w:themeFill="background1"/>
        <w:jc w:val="both"/>
        <w:rPr>
          <w:b/>
          <w:color w:val="auto"/>
        </w:rPr>
      </w:pPr>
      <w:r w:rsidRPr="008457A2">
        <w:rPr>
          <w:b/>
          <w:color w:val="auto"/>
        </w:rPr>
        <w:t>Interface homme-machine d'avant-garde</w:t>
      </w:r>
    </w:p>
    <w:p w:rsidR="008C383A" w:rsidRPr="008457A2" w:rsidRDefault="008C383A" w:rsidP="00020BCA">
      <w:pPr>
        <w:pStyle w:val="01TESTO"/>
        <w:shd w:val="clear" w:color="auto" w:fill="FFFFFF" w:themeFill="background1"/>
        <w:jc w:val="both"/>
        <w:rPr>
          <w:color w:val="auto"/>
        </w:rPr>
      </w:pPr>
      <w:r w:rsidRPr="008457A2">
        <w:rPr>
          <w:color w:val="auto"/>
        </w:rPr>
        <w:t xml:space="preserve">Facile d'utilisation, l'interface de commande </w:t>
      </w:r>
      <w:r w:rsidR="00221D20" w:rsidRPr="008457A2">
        <w:rPr>
          <w:color w:val="auto"/>
        </w:rPr>
        <w:t>des chargeuses sur pneus de la S</w:t>
      </w:r>
      <w:r w:rsidRPr="008457A2">
        <w:rPr>
          <w:color w:val="auto"/>
        </w:rPr>
        <w:t>érie G améliore la maîtrise et la productivité des engins. L'écran 8'' couleur rétroéclairé peut être consulté quelle que soit la luminosité extérieure, et permet une navigation intuitive grâce aux réglages de la machine et aux</w:t>
      </w:r>
      <w:r w:rsidR="00221D20" w:rsidRPr="008457A2">
        <w:rPr>
          <w:color w:val="auto"/>
        </w:rPr>
        <w:t xml:space="preserve"> écrans</w:t>
      </w:r>
      <w:r w:rsidRPr="008457A2">
        <w:rPr>
          <w:color w:val="auto"/>
        </w:rPr>
        <w:t xml:space="preserve"> d'information. Au besoin, un moniteur de vision arrière peut également être consulté.</w:t>
      </w:r>
    </w:p>
    <w:p w:rsidR="001B0988" w:rsidRDefault="001B0988" w:rsidP="00020BCA">
      <w:pPr>
        <w:pStyle w:val="01TESTO"/>
        <w:shd w:val="clear" w:color="auto" w:fill="FFFFFF" w:themeFill="background1"/>
        <w:jc w:val="both"/>
        <w:rPr>
          <w:color w:val="auto"/>
        </w:rPr>
      </w:pPr>
    </w:p>
    <w:p w:rsidR="008C383A" w:rsidRPr="008457A2" w:rsidRDefault="008260F1" w:rsidP="00020BCA">
      <w:pPr>
        <w:pStyle w:val="01TESTO"/>
        <w:shd w:val="clear" w:color="auto" w:fill="FFFFFF" w:themeFill="background1"/>
        <w:jc w:val="both"/>
        <w:rPr>
          <w:color w:val="auto"/>
        </w:rPr>
      </w:pPr>
      <w:r w:rsidRPr="008457A2">
        <w:rPr>
          <w:color w:val="auto"/>
        </w:rPr>
        <w:t>Un nouveau bloc de commande du godet a été ajouté, afin de régler et d'ajuster des fonctions automatisées depuis l'intérieur de la cabine. La console montée sur le siège est entièrement réglable. Elle comprend notamment un large accoudoir, et surtout un manipulateur ergonomique qui, associé aux commandes hydroélectriques et à la suspension active entièrement repensée, assure une maîtrise parfaite quelques que soient les conditions de travail.</w:t>
      </w:r>
    </w:p>
    <w:p w:rsidR="00A10523" w:rsidRDefault="00A10523" w:rsidP="00020BCA">
      <w:pPr>
        <w:pStyle w:val="01TESTO"/>
        <w:shd w:val="clear" w:color="auto" w:fill="FFFFFF" w:themeFill="background1"/>
        <w:jc w:val="both"/>
        <w:rPr>
          <w:color w:val="auto"/>
        </w:rPr>
      </w:pPr>
    </w:p>
    <w:p w:rsidR="008C383A" w:rsidRPr="008457A2" w:rsidRDefault="008260F1" w:rsidP="00020BCA">
      <w:pPr>
        <w:pStyle w:val="01TESTO"/>
        <w:shd w:val="clear" w:color="auto" w:fill="FFFFFF" w:themeFill="background1"/>
        <w:jc w:val="both"/>
        <w:rPr>
          <w:color w:val="auto"/>
        </w:rPr>
      </w:pPr>
      <w:r w:rsidRPr="008457A2">
        <w:rPr>
          <w:color w:val="auto"/>
        </w:rPr>
        <w:lastRenderedPageBreak/>
        <w:t>Avec l'option de contrôle de direction par manipulateurs, l'opérateur dispose de deux manipulateurs de même taille fixés des deux côtés du siège, ainsi que de larges accoudoirs, comme sur les pelles de CASE Construction Equipment. Cette option propose également une option de réglage de la sensibilité en fonction de la vitesse, avec trois positions possibles pour adapter la machine aux exigences de chaque tâche et de chaque site.</w:t>
      </w:r>
    </w:p>
    <w:p w:rsidR="00A10523" w:rsidRDefault="00A10523" w:rsidP="00020BCA">
      <w:pPr>
        <w:pStyle w:val="01TESTO"/>
        <w:shd w:val="clear" w:color="auto" w:fill="FFFFFF" w:themeFill="background1"/>
        <w:jc w:val="both"/>
        <w:rPr>
          <w:color w:val="auto"/>
        </w:rPr>
      </w:pPr>
    </w:p>
    <w:p w:rsidR="008C383A" w:rsidRPr="008457A2" w:rsidRDefault="008C383A" w:rsidP="00020BCA">
      <w:pPr>
        <w:pStyle w:val="01TESTO"/>
        <w:shd w:val="clear" w:color="auto" w:fill="FFFFFF" w:themeFill="background1"/>
        <w:jc w:val="both"/>
        <w:rPr>
          <w:color w:val="auto"/>
        </w:rPr>
      </w:pPr>
      <w:r w:rsidRPr="008457A2">
        <w:rPr>
          <w:color w:val="auto"/>
        </w:rPr>
        <w:t>Parmi les nouvelles fonctionnalités, on peut aussi évoquer le microphone intégré, combiné à une connexion Bluetooth et à une fonction de réponse automatique pour permettre aux opérateurs de répondre au téléphone en toute sécurité. Plus besoin de quitter la zone de travail des yeux ni de lâcher les commandes ! Enfin, les conducteurs apprécieront les multiples compartiments de rangement pour leurs documents et effets personnels, ainsi que l'option réfrigérateur pour conserver leur nourriture et leurs boissons au frais toute la journée.</w:t>
      </w:r>
    </w:p>
    <w:p w:rsidR="00435506" w:rsidRPr="008457A2" w:rsidRDefault="00435506" w:rsidP="00020BCA">
      <w:pPr>
        <w:jc w:val="both"/>
        <w:rPr>
          <w:b/>
          <w:color w:val="auto"/>
        </w:rPr>
      </w:pPr>
    </w:p>
    <w:p w:rsidR="008260F1" w:rsidRPr="008457A2" w:rsidRDefault="008260F1" w:rsidP="00020BCA">
      <w:pPr>
        <w:pStyle w:val="01TESTO"/>
        <w:shd w:val="clear" w:color="auto" w:fill="FFFFFF" w:themeFill="background1"/>
        <w:jc w:val="both"/>
        <w:rPr>
          <w:b/>
          <w:color w:val="auto"/>
        </w:rPr>
      </w:pPr>
      <w:r w:rsidRPr="008457A2">
        <w:rPr>
          <w:b/>
          <w:color w:val="auto"/>
        </w:rPr>
        <w:t>Système de traction à l'efficacité éprouvée</w:t>
      </w:r>
    </w:p>
    <w:p w:rsidR="00F04CEF" w:rsidRPr="008457A2" w:rsidRDefault="00F04CEF" w:rsidP="00020BCA">
      <w:pPr>
        <w:pStyle w:val="01TESTO"/>
        <w:shd w:val="clear" w:color="auto" w:fill="FFFFFF" w:themeFill="background1"/>
        <w:jc w:val="both"/>
      </w:pPr>
      <w:r w:rsidRPr="008457A2">
        <w:t>Toutes les chargeuses sur pneus de la série G sont dotées de moteurs diesel conformes aux normes antipollution européennes Niveau IV (Tier 4 Final), sans filtres à particules ni dispositif de recyclage des gaz d'échappement refroidis. Le système FTP de post-traitement Hi-eSCR exploite moins de composants pour respecter les normes d'émissions. Le compartimen</w:t>
      </w:r>
      <w:r w:rsidR="00E51B7A" w:rsidRPr="008457A2">
        <w:t>t moteur est ainsi plus compact</w:t>
      </w:r>
      <w:r w:rsidRPr="008457A2">
        <w:t xml:space="preserve"> et les coûts de maintenances sont réduits pour les utilisateurs. Les principaux composants sont fournis par des fabricants européens, et les machines sont montées en Europe.</w:t>
      </w:r>
    </w:p>
    <w:p w:rsidR="00A10523" w:rsidRDefault="00A10523" w:rsidP="00020BCA">
      <w:pPr>
        <w:pStyle w:val="01TESTO"/>
        <w:shd w:val="clear" w:color="auto" w:fill="FFFFFF" w:themeFill="background1"/>
        <w:jc w:val="both"/>
      </w:pPr>
    </w:p>
    <w:p w:rsidR="006752B0" w:rsidRPr="008457A2" w:rsidRDefault="006752B0" w:rsidP="00020BCA">
      <w:pPr>
        <w:pStyle w:val="01TESTO"/>
        <w:shd w:val="clear" w:color="auto" w:fill="FFFFFF" w:themeFill="background1"/>
        <w:jc w:val="both"/>
      </w:pPr>
      <w:r w:rsidRPr="008457A2">
        <w:t>Le cube de refroidissement, système éprouvé qui implique de placer les radiateurs et les refroidisseurs au milieu de la machine et non à l'arrière, protège ces éléments de la poussière des zones de travail pour une efficacité optimale. La distribution parfaite des charges contribue à améliorer la charge utile et la stabilité de la machine.</w:t>
      </w:r>
    </w:p>
    <w:p w:rsidR="00A10523" w:rsidRDefault="00A10523" w:rsidP="00020BCA">
      <w:pPr>
        <w:pStyle w:val="01TESTO"/>
        <w:shd w:val="clear" w:color="auto" w:fill="FFFFFF" w:themeFill="background1"/>
        <w:jc w:val="both"/>
      </w:pPr>
    </w:p>
    <w:p w:rsidR="008260F1" w:rsidRPr="008457A2" w:rsidRDefault="008260F1" w:rsidP="00020BCA">
      <w:pPr>
        <w:pStyle w:val="01TESTO"/>
        <w:shd w:val="clear" w:color="auto" w:fill="FFFFFF" w:themeFill="background1"/>
        <w:jc w:val="both"/>
      </w:pPr>
      <w:r w:rsidRPr="008457A2">
        <w:t xml:space="preserve">Les machines de la </w:t>
      </w:r>
      <w:r w:rsidR="00221D20" w:rsidRPr="008457A2">
        <w:t>S</w:t>
      </w:r>
      <w:r w:rsidRPr="008457A2">
        <w:t>érie G utilisent des transmissions CASE éprouvées, qui présentent une grande efficacité énergétique et des cycles plus courts. Les essieux extra-robustes CASE équipés de freins multidisques à bain d'huile réduisent les frottements grâce à des différentiels ouverts, et leur option de blocage automatique intégral assure un effort de traction maximal pour une usure réduite des pneus.</w:t>
      </w:r>
    </w:p>
    <w:p w:rsidR="00020BCA" w:rsidRPr="008457A2" w:rsidRDefault="00020BCA" w:rsidP="00020BCA">
      <w:pPr>
        <w:pStyle w:val="01TESTO"/>
        <w:shd w:val="clear" w:color="auto" w:fill="FFFFFF" w:themeFill="background1"/>
        <w:jc w:val="both"/>
        <w:rPr>
          <w:b/>
          <w:color w:val="auto"/>
        </w:rPr>
      </w:pPr>
    </w:p>
    <w:p w:rsidR="000D0012" w:rsidRPr="008457A2" w:rsidRDefault="000D0012" w:rsidP="00020BCA">
      <w:pPr>
        <w:pStyle w:val="01TESTO"/>
        <w:shd w:val="clear" w:color="auto" w:fill="FFFFFF" w:themeFill="background1"/>
        <w:jc w:val="both"/>
        <w:rPr>
          <w:b/>
          <w:color w:val="auto"/>
        </w:rPr>
      </w:pPr>
      <w:r w:rsidRPr="008457A2">
        <w:rPr>
          <w:b/>
          <w:color w:val="auto"/>
        </w:rPr>
        <w:t>Couleurs modernes</w:t>
      </w:r>
    </w:p>
    <w:p w:rsidR="00EC6C56" w:rsidRPr="008457A2" w:rsidRDefault="00221D20" w:rsidP="00E51B7A">
      <w:pPr>
        <w:pStyle w:val="01TESTO"/>
        <w:shd w:val="clear" w:color="auto" w:fill="FFFFFF" w:themeFill="background1"/>
        <w:jc w:val="both"/>
        <w:rPr>
          <w:color w:val="auto"/>
        </w:rPr>
      </w:pPr>
      <w:r w:rsidRPr="008457A2">
        <w:rPr>
          <w:color w:val="auto"/>
        </w:rPr>
        <w:t>Les chargeuses de la S</w:t>
      </w:r>
      <w:r w:rsidR="00FC43B0" w:rsidRPr="008457A2">
        <w:rPr>
          <w:color w:val="auto"/>
        </w:rPr>
        <w:t xml:space="preserve">érie G affichent les nouvelles couleurs de CASE Construction Equipment, utilisées sur toutes les gammes de produits. Elles ont été choisies pour illustrer les valeurs de la marque. « Nous avons choisi de suivre les tendances de nos marques automobiles, avec des couleurs sombres au niveau des roues et des parties basses, et un effet cuivré sur les parties </w:t>
      </w:r>
      <w:r w:rsidR="00FC43B0" w:rsidRPr="008457A2">
        <w:rPr>
          <w:color w:val="auto"/>
        </w:rPr>
        <w:lastRenderedPageBreak/>
        <w:t>supérieures pour insister sur l'impression de force » explique David Wilkie, directeur de la conception pour CNH Industrial. « Nous avons également beaucoup travaillé le graphisme en choisissant des visuels 2D audacieux, très lisibles, pour un sentiment de clarté, et une finition à la peinture réfléchissante pour qu'ils puissent être vus de nuit. »</w:t>
      </w:r>
    </w:p>
    <w:p w:rsidR="00020BCA" w:rsidRDefault="00020BCA" w:rsidP="00020BCA">
      <w:pPr>
        <w:pStyle w:val="01TESTO"/>
        <w:shd w:val="clear" w:color="auto" w:fill="FFFFFF" w:themeFill="background1"/>
        <w:spacing w:after="200"/>
        <w:jc w:val="both"/>
        <w:rPr>
          <w:color w:val="auto"/>
        </w:rPr>
      </w:pPr>
    </w:p>
    <w:tbl>
      <w:tblPr>
        <w:tblW w:w="8608" w:type="dxa"/>
        <w:tblInd w:w="60" w:type="dxa"/>
        <w:tblCellMar>
          <w:left w:w="0" w:type="dxa"/>
          <w:right w:w="0" w:type="dxa"/>
        </w:tblCellMar>
        <w:tblLook w:val="04A0" w:firstRow="1" w:lastRow="0" w:firstColumn="1" w:lastColumn="0" w:noHBand="0" w:noVBand="1"/>
      </w:tblPr>
      <w:tblGrid>
        <w:gridCol w:w="1853"/>
        <w:gridCol w:w="641"/>
        <w:gridCol w:w="1019"/>
        <w:gridCol w:w="1019"/>
        <w:gridCol w:w="1019"/>
        <w:gridCol w:w="1019"/>
        <w:gridCol w:w="1019"/>
        <w:gridCol w:w="1019"/>
      </w:tblGrid>
      <w:tr w:rsidR="00E95503" w:rsidRPr="00E95503" w:rsidTr="00E95503">
        <w:trPr>
          <w:trHeight w:val="483"/>
        </w:trPr>
        <w:tc>
          <w:tcPr>
            <w:tcW w:w="185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E95503" w:rsidRPr="00E95503" w:rsidRDefault="00E95503">
            <w:pPr>
              <w:jc w:val="center"/>
              <w:rPr>
                <w:rFonts w:eastAsiaTheme="minorHAnsi" w:cs="Arial"/>
                <w:b/>
                <w:bCs/>
                <w:sz w:val="24"/>
                <w:szCs w:val="24"/>
                <w:lang w:val="it-IT" w:eastAsia="es-ES"/>
              </w:rPr>
            </w:pPr>
            <w:r w:rsidRPr="00A10523">
              <w:rPr>
                <w:b/>
                <w:bCs/>
                <w:sz w:val="24"/>
                <w:szCs w:val="24"/>
                <w:lang w:eastAsia="es-ES"/>
              </w:rPr>
              <w:t> </w:t>
            </w:r>
            <w:r w:rsidRPr="00E95503">
              <w:rPr>
                <w:b/>
                <w:bCs/>
                <w:sz w:val="24"/>
                <w:szCs w:val="24"/>
                <w:lang w:eastAsia="es-ES"/>
              </w:rPr>
              <w:t> Série G</w:t>
            </w:r>
          </w:p>
        </w:tc>
        <w:tc>
          <w:tcPr>
            <w:tcW w:w="641" w:type="dxa"/>
            <w:tcBorders>
              <w:top w:val="single" w:sz="8" w:space="0" w:color="auto"/>
              <w:left w:val="nil"/>
              <w:bottom w:val="single" w:sz="8" w:space="0" w:color="auto"/>
              <w:right w:val="single" w:sz="8" w:space="0" w:color="auto"/>
            </w:tcBorders>
            <w:vAlign w:val="center"/>
            <w:hideMark/>
          </w:tcPr>
          <w:p w:rsidR="00E95503" w:rsidRPr="00E95503" w:rsidRDefault="00E95503">
            <w:pPr>
              <w:jc w:val="center"/>
              <w:rPr>
                <w:rFonts w:eastAsiaTheme="minorHAnsi" w:cs="Arial"/>
                <w:b/>
                <w:bCs/>
                <w:sz w:val="24"/>
                <w:szCs w:val="24"/>
                <w:lang w:val="it-IT" w:eastAsia="es-ES"/>
              </w:rPr>
            </w:pPr>
            <w:r w:rsidRPr="00E95503">
              <w:rPr>
                <w:b/>
                <w:bCs/>
                <w:sz w:val="24"/>
                <w:szCs w:val="24"/>
                <w:lang w:eastAsia="es-ES"/>
              </w:rPr>
              <w:t>521G</w:t>
            </w:r>
          </w:p>
        </w:tc>
        <w:tc>
          <w:tcPr>
            <w:tcW w:w="1019" w:type="dxa"/>
            <w:tcBorders>
              <w:top w:val="single" w:sz="8" w:space="0" w:color="auto"/>
              <w:left w:val="nil"/>
              <w:bottom w:val="single" w:sz="8" w:space="0" w:color="auto"/>
              <w:right w:val="single" w:sz="8" w:space="0" w:color="auto"/>
            </w:tcBorders>
            <w:vAlign w:val="center"/>
            <w:hideMark/>
          </w:tcPr>
          <w:p w:rsidR="00E95503" w:rsidRPr="00E95503" w:rsidRDefault="00E95503">
            <w:pPr>
              <w:jc w:val="center"/>
              <w:rPr>
                <w:rFonts w:eastAsiaTheme="minorHAnsi" w:cs="Arial"/>
                <w:b/>
                <w:bCs/>
                <w:sz w:val="24"/>
                <w:szCs w:val="24"/>
                <w:lang w:val="it-IT" w:eastAsia="es-ES"/>
              </w:rPr>
            </w:pPr>
            <w:r w:rsidRPr="00E95503">
              <w:rPr>
                <w:b/>
                <w:bCs/>
                <w:sz w:val="24"/>
                <w:szCs w:val="24"/>
                <w:lang w:eastAsia="es-ES"/>
              </w:rPr>
              <w:t>621G</w:t>
            </w:r>
          </w:p>
        </w:tc>
        <w:tc>
          <w:tcPr>
            <w:tcW w:w="1019" w:type="dxa"/>
            <w:tcBorders>
              <w:top w:val="single" w:sz="8" w:space="0" w:color="auto"/>
              <w:left w:val="nil"/>
              <w:bottom w:val="single" w:sz="8" w:space="0" w:color="auto"/>
              <w:right w:val="single" w:sz="8" w:space="0" w:color="auto"/>
            </w:tcBorders>
            <w:vAlign w:val="center"/>
            <w:hideMark/>
          </w:tcPr>
          <w:p w:rsidR="00E95503" w:rsidRPr="00E95503" w:rsidRDefault="00E95503">
            <w:pPr>
              <w:jc w:val="center"/>
              <w:rPr>
                <w:rFonts w:eastAsiaTheme="minorHAnsi" w:cs="Arial"/>
                <w:b/>
                <w:bCs/>
                <w:sz w:val="24"/>
                <w:szCs w:val="24"/>
                <w:lang w:val="it-IT" w:eastAsia="es-ES"/>
              </w:rPr>
            </w:pPr>
            <w:r w:rsidRPr="00E95503">
              <w:rPr>
                <w:b/>
                <w:bCs/>
                <w:sz w:val="24"/>
                <w:szCs w:val="24"/>
                <w:lang w:eastAsia="es-ES"/>
              </w:rPr>
              <w:t>721G</w:t>
            </w:r>
          </w:p>
        </w:tc>
        <w:tc>
          <w:tcPr>
            <w:tcW w:w="1019" w:type="dxa"/>
            <w:tcBorders>
              <w:top w:val="single" w:sz="8" w:space="0" w:color="auto"/>
              <w:left w:val="nil"/>
              <w:bottom w:val="single" w:sz="8" w:space="0" w:color="auto"/>
              <w:right w:val="single" w:sz="8" w:space="0" w:color="auto"/>
            </w:tcBorders>
            <w:vAlign w:val="center"/>
            <w:hideMark/>
          </w:tcPr>
          <w:p w:rsidR="00E95503" w:rsidRPr="00E95503" w:rsidRDefault="00E95503">
            <w:pPr>
              <w:jc w:val="center"/>
              <w:rPr>
                <w:rFonts w:eastAsiaTheme="minorHAnsi" w:cs="Arial"/>
                <w:b/>
                <w:bCs/>
                <w:sz w:val="24"/>
                <w:szCs w:val="24"/>
                <w:lang w:val="it-IT" w:eastAsia="es-ES"/>
              </w:rPr>
            </w:pPr>
            <w:r w:rsidRPr="00E95503">
              <w:rPr>
                <w:b/>
                <w:bCs/>
                <w:sz w:val="24"/>
                <w:szCs w:val="24"/>
                <w:lang w:eastAsia="es-ES"/>
              </w:rPr>
              <w:t>821G</w:t>
            </w:r>
          </w:p>
        </w:tc>
        <w:tc>
          <w:tcPr>
            <w:tcW w:w="1019" w:type="dxa"/>
            <w:tcBorders>
              <w:top w:val="single" w:sz="8" w:space="0" w:color="auto"/>
              <w:left w:val="nil"/>
              <w:bottom w:val="single" w:sz="8" w:space="0" w:color="auto"/>
              <w:right w:val="single" w:sz="8" w:space="0" w:color="auto"/>
            </w:tcBorders>
            <w:vAlign w:val="center"/>
            <w:hideMark/>
          </w:tcPr>
          <w:p w:rsidR="00E95503" w:rsidRPr="00E95503" w:rsidRDefault="00E95503">
            <w:pPr>
              <w:jc w:val="center"/>
              <w:rPr>
                <w:rFonts w:eastAsiaTheme="minorHAnsi" w:cs="Arial"/>
                <w:b/>
                <w:bCs/>
                <w:sz w:val="24"/>
                <w:szCs w:val="24"/>
                <w:lang w:val="it-IT" w:eastAsia="es-ES"/>
              </w:rPr>
            </w:pPr>
            <w:r w:rsidRPr="00E95503">
              <w:rPr>
                <w:b/>
                <w:bCs/>
                <w:sz w:val="24"/>
                <w:szCs w:val="24"/>
                <w:lang w:eastAsia="es-ES"/>
              </w:rPr>
              <w:t>921G</w:t>
            </w:r>
          </w:p>
        </w:tc>
        <w:tc>
          <w:tcPr>
            <w:tcW w:w="1019" w:type="dxa"/>
            <w:tcBorders>
              <w:top w:val="single" w:sz="8" w:space="0" w:color="auto"/>
              <w:left w:val="nil"/>
              <w:bottom w:val="single" w:sz="8" w:space="0" w:color="auto"/>
              <w:right w:val="single" w:sz="8" w:space="0" w:color="auto"/>
            </w:tcBorders>
            <w:vAlign w:val="center"/>
            <w:hideMark/>
          </w:tcPr>
          <w:p w:rsidR="00E95503" w:rsidRPr="00E95503" w:rsidRDefault="00E95503">
            <w:pPr>
              <w:jc w:val="center"/>
              <w:rPr>
                <w:rFonts w:eastAsiaTheme="minorHAnsi" w:cs="Arial"/>
                <w:b/>
                <w:bCs/>
                <w:sz w:val="24"/>
                <w:szCs w:val="24"/>
                <w:lang w:val="it-IT" w:eastAsia="es-ES"/>
              </w:rPr>
            </w:pPr>
            <w:r w:rsidRPr="00E95503">
              <w:rPr>
                <w:b/>
                <w:bCs/>
                <w:sz w:val="24"/>
                <w:szCs w:val="24"/>
                <w:lang w:eastAsia="es-ES"/>
              </w:rPr>
              <w:t>1021G</w:t>
            </w:r>
          </w:p>
        </w:tc>
        <w:tc>
          <w:tcPr>
            <w:tcW w:w="1019" w:type="dxa"/>
            <w:tcBorders>
              <w:top w:val="single" w:sz="8" w:space="0" w:color="auto"/>
              <w:left w:val="nil"/>
              <w:bottom w:val="single" w:sz="8" w:space="0" w:color="auto"/>
              <w:right w:val="single" w:sz="8" w:space="0" w:color="auto"/>
            </w:tcBorders>
            <w:vAlign w:val="center"/>
            <w:hideMark/>
          </w:tcPr>
          <w:p w:rsidR="00E95503" w:rsidRPr="00E95503" w:rsidRDefault="00E95503">
            <w:pPr>
              <w:jc w:val="center"/>
              <w:rPr>
                <w:rFonts w:eastAsiaTheme="minorHAnsi" w:cs="Arial"/>
                <w:b/>
                <w:bCs/>
                <w:sz w:val="24"/>
                <w:szCs w:val="24"/>
                <w:lang w:val="it-IT" w:eastAsia="es-ES"/>
              </w:rPr>
            </w:pPr>
            <w:r w:rsidRPr="00E95503">
              <w:rPr>
                <w:b/>
                <w:bCs/>
                <w:sz w:val="24"/>
                <w:szCs w:val="24"/>
                <w:lang w:eastAsia="es-ES"/>
              </w:rPr>
              <w:t>1121G</w:t>
            </w:r>
          </w:p>
        </w:tc>
      </w:tr>
      <w:tr w:rsidR="00E95503" w:rsidTr="00E95503">
        <w:trPr>
          <w:trHeight w:val="469"/>
        </w:trPr>
        <w:tc>
          <w:tcPr>
            <w:tcW w:w="1853" w:type="dxa"/>
            <w:tcBorders>
              <w:top w:val="nil"/>
              <w:left w:val="single" w:sz="8" w:space="0" w:color="auto"/>
              <w:bottom w:val="nil"/>
              <w:right w:val="nil"/>
            </w:tcBorders>
            <w:shd w:val="clear" w:color="auto" w:fill="FFFFFF"/>
            <w:tcMar>
              <w:top w:w="0" w:type="dxa"/>
              <w:left w:w="70" w:type="dxa"/>
              <w:bottom w:w="0" w:type="dxa"/>
              <w:right w:w="70" w:type="dxa"/>
            </w:tcMar>
            <w:vAlign w:val="center"/>
            <w:hideMark/>
          </w:tcPr>
          <w:p w:rsidR="00E95503" w:rsidRDefault="00E95503">
            <w:pPr>
              <w:rPr>
                <w:rFonts w:ascii="Calibri" w:eastAsiaTheme="minorHAnsi" w:hAnsi="Calibri"/>
                <w:sz w:val="22"/>
                <w:szCs w:val="22"/>
                <w:lang w:val="it-IT" w:eastAsia="es-ES"/>
              </w:rPr>
            </w:pPr>
            <w:r w:rsidRPr="008457A2">
              <w:t>Charge utile du godet</w:t>
            </w:r>
          </w:p>
        </w:tc>
        <w:tc>
          <w:tcPr>
            <w:tcW w:w="641" w:type="dxa"/>
            <w:tcBorders>
              <w:top w:val="nil"/>
              <w:left w:val="single" w:sz="8" w:space="0" w:color="auto"/>
              <w:bottom w:val="single" w:sz="8" w:space="0" w:color="auto"/>
              <w:right w:val="nil"/>
            </w:tcBorders>
            <w:shd w:val="clear" w:color="auto" w:fill="FFFFFF"/>
            <w:vAlign w:val="center"/>
            <w:hideMark/>
          </w:tcPr>
          <w:p w:rsidR="00E95503" w:rsidRDefault="00E95503">
            <w:pPr>
              <w:jc w:val="center"/>
              <w:rPr>
                <w:rFonts w:eastAsiaTheme="minorHAnsi" w:cs="Arial"/>
                <w:szCs w:val="19"/>
                <w:lang w:val="it-IT" w:eastAsia="es-ES"/>
              </w:rPr>
            </w:pPr>
            <w:r>
              <w:rPr>
                <w:lang w:eastAsia="es-ES"/>
              </w:rPr>
              <w:t>3.9 t</w:t>
            </w:r>
          </w:p>
        </w:tc>
        <w:tc>
          <w:tcPr>
            <w:tcW w:w="1019" w:type="dxa"/>
            <w:tcBorders>
              <w:top w:val="nil"/>
              <w:left w:val="single" w:sz="8" w:space="0" w:color="auto"/>
              <w:bottom w:val="single" w:sz="8" w:space="0" w:color="auto"/>
              <w:right w:val="nil"/>
            </w:tcBorders>
            <w:shd w:val="clear" w:color="auto" w:fill="FFFFFF"/>
            <w:vAlign w:val="center"/>
            <w:hideMark/>
          </w:tcPr>
          <w:p w:rsidR="00E95503" w:rsidRDefault="00E95503">
            <w:pPr>
              <w:jc w:val="center"/>
              <w:rPr>
                <w:rFonts w:eastAsiaTheme="minorHAnsi" w:cs="Arial"/>
                <w:szCs w:val="19"/>
                <w:lang w:val="it-IT" w:eastAsia="es-ES"/>
              </w:rPr>
            </w:pPr>
            <w:r>
              <w:rPr>
                <w:lang w:eastAsia="es-ES"/>
              </w:rPr>
              <w:t>4.7 t</w:t>
            </w:r>
          </w:p>
        </w:tc>
        <w:tc>
          <w:tcPr>
            <w:tcW w:w="1019" w:type="dxa"/>
            <w:tcBorders>
              <w:top w:val="nil"/>
              <w:left w:val="single" w:sz="8" w:space="0" w:color="auto"/>
              <w:bottom w:val="single" w:sz="8" w:space="0" w:color="auto"/>
              <w:right w:val="nil"/>
            </w:tcBorders>
            <w:shd w:val="clear" w:color="auto" w:fill="FFFFFF"/>
            <w:vAlign w:val="center"/>
            <w:hideMark/>
          </w:tcPr>
          <w:p w:rsidR="00E95503" w:rsidRDefault="00E95503">
            <w:pPr>
              <w:jc w:val="center"/>
              <w:rPr>
                <w:rFonts w:eastAsiaTheme="minorHAnsi" w:cs="Arial"/>
                <w:szCs w:val="19"/>
                <w:lang w:val="it-IT" w:eastAsia="es-ES"/>
              </w:rPr>
            </w:pPr>
            <w:r>
              <w:rPr>
                <w:lang w:eastAsia="es-ES"/>
              </w:rPr>
              <w:t>5.5 t</w:t>
            </w:r>
          </w:p>
        </w:tc>
        <w:tc>
          <w:tcPr>
            <w:tcW w:w="1019" w:type="dxa"/>
            <w:tcBorders>
              <w:top w:val="nil"/>
              <w:left w:val="single" w:sz="8" w:space="0" w:color="auto"/>
              <w:bottom w:val="single" w:sz="8" w:space="0" w:color="auto"/>
              <w:right w:val="nil"/>
            </w:tcBorders>
            <w:shd w:val="clear" w:color="auto" w:fill="FFFFFF"/>
            <w:vAlign w:val="center"/>
            <w:hideMark/>
          </w:tcPr>
          <w:p w:rsidR="00E95503" w:rsidRDefault="00E95503">
            <w:pPr>
              <w:jc w:val="center"/>
              <w:rPr>
                <w:rFonts w:eastAsiaTheme="minorHAnsi" w:cs="Arial"/>
                <w:szCs w:val="19"/>
                <w:lang w:val="it-IT" w:eastAsia="es-ES"/>
              </w:rPr>
            </w:pPr>
            <w:r>
              <w:rPr>
                <w:lang w:eastAsia="es-ES"/>
              </w:rPr>
              <w:t>6.4 t</w:t>
            </w:r>
          </w:p>
        </w:tc>
        <w:tc>
          <w:tcPr>
            <w:tcW w:w="1019" w:type="dxa"/>
            <w:tcBorders>
              <w:top w:val="nil"/>
              <w:left w:val="single" w:sz="8" w:space="0" w:color="auto"/>
              <w:bottom w:val="single" w:sz="8" w:space="0" w:color="auto"/>
              <w:right w:val="nil"/>
            </w:tcBorders>
            <w:shd w:val="clear" w:color="auto" w:fill="FFFFFF"/>
            <w:vAlign w:val="center"/>
            <w:hideMark/>
          </w:tcPr>
          <w:p w:rsidR="00E95503" w:rsidRDefault="00E95503">
            <w:pPr>
              <w:jc w:val="center"/>
              <w:rPr>
                <w:rFonts w:eastAsiaTheme="minorHAnsi" w:cs="Arial"/>
                <w:szCs w:val="19"/>
                <w:lang w:val="it-IT" w:eastAsia="es-ES"/>
              </w:rPr>
            </w:pPr>
            <w:r>
              <w:rPr>
                <w:lang w:eastAsia="es-ES"/>
              </w:rPr>
              <w:t xml:space="preserve">7.5 t </w:t>
            </w:r>
          </w:p>
        </w:tc>
        <w:tc>
          <w:tcPr>
            <w:tcW w:w="1019" w:type="dxa"/>
            <w:tcBorders>
              <w:top w:val="nil"/>
              <w:left w:val="single" w:sz="8" w:space="0" w:color="auto"/>
              <w:bottom w:val="single" w:sz="8" w:space="0" w:color="auto"/>
              <w:right w:val="single" w:sz="8" w:space="0" w:color="auto"/>
            </w:tcBorders>
            <w:shd w:val="clear" w:color="auto" w:fill="FFFFFF"/>
            <w:vAlign w:val="center"/>
            <w:hideMark/>
          </w:tcPr>
          <w:p w:rsidR="00E95503" w:rsidRDefault="00E95503">
            <w:pPr>
              <w:jc w:val="center"/>
              <w:rPr>
                <w:rFonts w:eastAsiaTheme="minorHAnsi" w:cs="Arial"/>
                <w:szCs w:val="19"/>
                <w:lang w:val="it-IT" w:eastAsia="it-IT"/>
              </w:rPr>
            </w:pPr>
            <w:r>
              <w:rPr>
                <w:lang w:eastAsia="es-ES"/>
              </w:rPr>
              <w:t>9.5 t</w:t>
            </w:r>
          </w:p>
        </w:tc>
        <w:tc>
          <w:tcPr>
            <w:tcW w:w="1019" w:type="dxa"/>
            <w:tcBorders>
              <w:top w:val="nil"/>
              <w:left w:val="nil"/>
              <w:bottom w:val="single" w:sz="8" w:space="0" w:color="auto"/>
              <w:right w:val="single" w:sz="8" w:space="0" w:color="auto"/>
            </w:tcBorders>
            <w:shd w:val="clear" w:color="auto" w:fill="FFFFFF"/>
            <w:vAlign w:val="center"/>
            <w:hideMark/>
          </w:tcPr>
          <w:p w:rsidR="00E95503" w:rsidRDefault="00E95503">
            <w:pPr>
              <w:jc w:val="center"/>
              <w:rPr>
                <w:rFonts w:eastAsiaTheme="minorHAnsi" w:cs="Arial"/>
                <w:szCs w:val="19"/>
                <w:lang w:val="it-IT" w:eastAsia="it-IT"/>
              </w:rPr>
            </w:pPr>
            <w:r>
              <w:rPr>
                <w:lang w:eastAsia="es-ES"/>
              </w:rPr>
              <w:t xml:space="preserve">10.2 t </w:t>
            </w:r>
          </w:p>
        </w:tc>
      </w:tr>
      <w:tr w:rsidR="00E95503" w:rsidTr="00E95503">
        <w:trPr>
          <w:trHeight w:val="547"/>
        </w:trPr>
        <w:tc>
          <w:tcPr>
            <w:tcW w:w="1853" w:type="dxa"/>
            <w:tcBorders>
              <w:top w:val="single" w:sz="8" w:space="0" w:color="auto"/>
              <w:left w:val="single" w:sz="8" w:space="0" w:color="auto"/>
              <w:bottom w:val="single" w:sz="8" w:space="0" w:color="000000"/>
              <w:right w:val="single" w:sz="8" w:space="0" w:color="auto"/>
            </w:tcBorders>
            <w:shd w:val="clear" w:color="auto" w:fill="FFFFFF"/>
            <w:tcMar>
              <w:top w:w="0" w:type="dxa"/>
              <w:left w:w="70" w:type="dxa"/>
              <w:bottom w:w="0" w:type="dxa"/>
              <w:right w:w="70" w:type="dxa"/>
            </w:tcMar>
            <w:vAlign w:val="center"/>
            <w:hideMark/>
          </w:tcPr>
          <w:p w:rsidR="00E95503" w:rsidRDefault="00E95503">
            <w:pPr>
              <w:rPr>
                <w:rFonts w:ascii="Calibri" w:eastAsiaTheme="minorHAnsi" w:hAnsi="Calibri"/>
                <w:sz w:val="22"/>
                <w:szCs w:val="22"/>
                <w:lang w:val="it-IT" w:eastAsia="es-ES"/>
              </w:rPr>
            </w:pPr>
            <w:r>
              <w:rPr>
                <w:lang w:eastAsia="es-ES"/>
              </w:rPr>
              <w:t xml:space="preserve">Capacité du godet </w:t>
            </w:r>
          </w:p>
        </w:tc>
        <w:tc>
          <w:tcPr>
            <w:tcW w:w="641" w:type="dxa"/>
            <w:tcBorders>
              <w:top w:val="nil"/>
              <w:left w:val="nil"/>
              <w:bottom w:val="single" w:sz="8" w:space="0" w:color="auto"/>
              <w:right w:val="single" w:sz="8" w:space="0" w:color="auto"/>
            </w:tcBorders>
            <w:shd w:val="clear" w:color="auto" w:fill="FFFFFF"/>
            <w:vAlign w:val="center"/>
            <w:hideMark/>
          </w:tcPr>
          <w:p w:rsidR="00E95503" w:rsidRDefault="00E95503">
            <w:pPr>
              <w:jc w:val="center"/>
              <w:rPr>
                <w:rFonts w:eastAsiaTheme="minorHAnsi" w:cs="Arial"/>
                <w:szCs w:val="19"/>
                <w:lang w:val="it-IT" w:eastAsia="es-ES"/>
              </w:rPr>
            </w:pPr>
            <w:r>
              <w:rPr>
                <w:lang w:eastAsia="es-ES"/>
              </w:rPr>
              <w:t>2.1 m</w:t>
            </w:r>
            <w:r>
              <w:rPr>
                <w:color w:val="252525"/>
                <w:sz w:val="24"/>
                <w:szCs w:val="24"/>
                <w:shd w:val="clear" w:color="auto" w:fill="FFFFFF"/>
              </w:rPr>
              <w:t>³</w:t>
            </w:r>
          </w:p>
        </w:tc>
        <w:tc>
          <w:tcPr>
            <w:tcW w:w="1019" w:type="dxa"/>
            <w:tcBorders>
              <w:top w:val="nil"/>
              <w:left w:val="nil"/>
              <w:bottom w:val="single" w:sz="8" w:space="0" w:color="auto"/>
              <w:right w:val="single" w:sz="8" w:space="0" w:color="auto"/>
            </w:tcBorders>
            <w:shd w:val="clear" w:color="auto" w:fill="FFFFFF"/>
            <w:vAlign w:val="center"/>
            <w:hideMark/>
          </w:tcPr>
          <w:p w:rsidR="00E95503" w:rsidRDefault="00E95503">
            <w:pPr>
              <w:jc w:val="center"/>
              <w:rPr>
                <w:rFonts w:eastAsiaTheme="minorHAnsi" w:cs="Arial"/>
                <w:szCs w:val="19"/>
                <w:lang w:val="it-IT" w:eastAsia="es-ES"/>
              </w:rPr>
            </w:pPr>
            <w:r>
              <w:rPr>
                <w:lang w:eastAsia="es-ES"/>
              </w:rPr>
              <w:t>2.3 m</w:t>
            </w:r>
            <w:r>
              <w:rPr>
                <w:color w:val="252525"/>
                <w:sz w:val="24"/>
                <w:szCs w:val="24"/>
                <w:shd w:val="clear" w:color="auto" w:fill="FFFFFF"/>
              </w:rPr>
              <w:t>³</w:t>
            </w:r>
          </w:p>
        </w:tc>
        <w:tc>
          <w:tcPr>
            <w:tcW w:w="1019" w:type="dxa"/>
            <w:tcBorders>
              <w:top w:val="nil"/>
              <w:left w:val="nil"/>
              <w:bottom w:val="single" w:sz="8" w:space="0" w:color="auto"/>
              <w:right w:val="single" w:sz="8" w:space="0" w:color="auto"/>
            </w:tcBorders>
            <w:shd w:val="clear" w:color="auto" w:fill="FFFFFF"/>
            <w:vAlign w:val="center"/>
            <w:hideMark/>
          </w:tcPr>
          <w:p w:rsidR="00E95503" w:rsidRDefault="00E95503">
            <w:pPr>
              <w:jc w:val="center"/>
              <w:rPr>
                <w:rFonts w:eastAsiaTheme="minorHAnsi" w:cs="Arial"/>
                <w:szCs w:val="19"/>
                <w:lang w:val="it-IT" w:eastAsia="es-ES"/>
              </w:rPr>
            </w:pPr>
            <w:r>
              <w:rPr>
                <w:lang w:eastAsia="es-ES"/>
              </w:rPr>
              <w:t>2.7 m</w:t>
            </w:r>
            <w:r>
              <w:rPr>
                <w:color w:val="252525"/>
                <w:sz w:val="24"/>
                <w:szCs w:val="24"/>
                <w:shd w:val="clear" w:color="auto" w:fill="FFFFFF"/>
              </w:rPr>
              <w:t>³</w:t>
            </w:r>
          </w:p>
        </w:tc>
        <w:tc>
          <w:tcPr>
            <w:tcW w:w="1019" w:type="dxa"/>
            <w:tcBorders>
              <w:top w:val="nil"/>
              <w:left w:val="nil"/>
              <w:bottom w:val="single" w:sz="8" w:space="0" w:color="auto"/>
              <w:right w:val="single" w:sz="8" w:space="0" w:color="auto"/>
            </w:tcBorders>
            <w:shd w:val="clear" w:color="auto" w:fill="FFFFFF"/>
            <w:vAlign w:val="center"/>
            <w:hideMark/>
          </w:tcPr>
          <w:p w:rsidR="00E95503" w:rsidRDefault="00E95503">
            <w:pPr>
              <w:jc w:val="center"/>
              <w:rPr>
                <w:rFonts w:eastAsiaTheme="minorHAnsi" w:cs="Arial"/>
                <w:szCs w:val="19"/>
                <w:lang w:val="de-DE" w:eastAsia="es-ES"/>
              </w:rPr>
            </w:pPr>
            <w:r>
              <w:rPr>
                <w:lang w:val="de-DE" w:eastAsia="es-ES"/>
              </w:rPr>
              <w:t>3.6 m</w:t>
            </w:r>
            <w:r>
              <w:rPr>
                <w:color w:val="252525"/>
                <w:sz w:val="24"/>
                <w:szCs w:val="24"/>
                <w:shd w:val="clear" w:color="auto" w:fill="FFFFFF"/>
                <w:lang w:val="de-DE"/>
              </w:rPr>
              <w:t>³</w:t>
            </w:r>
          </w:p>
        </w:tc>
        <w:tc>
          <w:tcPr>
            <w:tcW w:w="1019" w:type="dxa"/>
            <w:tcBorders>
              <w:top w:val="nil"/>
              <w:left w:val="nil"/>
              <w:bottom w:val="single" w:sz="8" w:space="0" w:color="auto"/>
              <w:right w:val="single" w:sz="8" w:space="0" w:color="auto"/>
            </w:tcBorders>
            <w:shd w:val="clear" w:color="auto" w:fill="FFFFFF"/>
            <w:vAlign w:val="center"/>
            <w:hideMark/>
          </w:tcPr>
          <w:p w:rsidR="00E95503" w:rsidRDefault="00E95503">
            <w:pPr>
              <w:jc w:val="center"/>
              <w:rPr>
                <w:rFonts w:eastAsiaTheme="minorHAnsi" w:cs="Arial"/>
                <w:szCs w:val="19"/>
                <w:lang w:val="de-DE" w:eastAsia="es-ES"/>
              </w:rPr>
            </w:pPr>
            <w:r>
              <w:rPr>
                <w:lang w:val="de-DE" w:eastAsia="es-ES"/>
              </w:rPr>
              <w:t>4.0 m</w:t>
            </w:r>
            <w:r>
              <w:rPr>
                <w:color w:val="252525"/>
                <w:sz w:val="24"/>
                <w:szCs w:val="24"/>
                <w:shd w:val="clear" w:color="auto" w:fill="FFFFFF"/>
                <w:lang w:val="de-DE"/>
              </w:rPr>
              <w:t>³</w:t>
            </w:r>
          </w:p>
        </w:tc>
        <w:tc>
          <w:tcPr>
            <w:tcW w:w="1019" w:type="dxa"/>
            <w:tcBorders>
              <w:top w:val="nil"/>
              <w:left w:val="nil"/>
              <w:bottom w:val="single" w:sz="8" w:space="0" w:color="auto"/>
              <w:right w:val="single" w:sz="8" w:space="0" w:color="auto"/>
            </w:tcBorders>
            <w:shd w:val="clear" w:color="auto" w:fill="FFFFFF"/>
            <w:vAlign w:val="center"/>
            <w:hideMark/>
          </w:tcPr>
          <w:p w:rsidR="00E95503" w:rsidRDefault="00E95503">
            <w:pPr>
              <w:jc w:val="center"/>
              <w:rPr>
                <w:rFonts w:eastAsiaTheme="minorHAnsi" w:cs="Arial"/>
                <w:szCs w:val="19"/>
                <w:lang w:val="de-DE" w:eastAsia="it-IT"/>
              </w:rPr>
            </w:pPr>
            <w:r>
              <w:rPr>
                <w:lang w:val="de-DE" w:eastAsia="es-ES"/>
              </w:rPr>
              <w:t>4.4 m</w:t>
            </w:r>
            <w:r>
              <w:rPr>
                <w:color w:val="252525"/>
                <w:sz w:val="24"/>
                <w:szCs w:val="24"/>
                <w:shd w:val="clear" w:color="auto" w:fill="FFFFFF"/>
                <w:lang w:val="de-DE"/>
              </w:rPr>
              <w:t>³</w:t>
            </w:r>
          </w:p>
        </w:tc>
        <w:tc>
          <w:tcPr>
            <w:tcW w:w="1019" w:type="dxa"/>
            <w:tcBorders>
              <w:top w:val="nil"/>
              <w:left w:val="nil"/>
              <w:bottom w:val="single" w:sz="8" w:space="0" w:color="auto"/>
              <w:right w:val="single" w:sz="8" w:space="0" w:color="auto"/>
            </w:tcBorders>
            <w:shd w:val="clear" w:color="auto" w:fill="FFFFFF"/>
            <w:vAlign w:val="center"/>
            <w:hideMark/>
          </w:tcPr>
          <w:p w:rsidR="00E95503" w:rsidRDefault="00E95503">
            <w:pPr>
              <w:jc w:val="center"/>
              <w:rPr>
                <w:rFonts w:eastAsiaTheme="minorHAnsi" w:cs="Arial"/>
                <w:szCs w:val="19"/>
                <w:lang w:val="de-DE" w:eastAsia="it-IT"/>
              </w:rPr>
            </w:pPr>
            <w:r>
              <w:rPr>
                <w:lang w:val="de-DE" w:eastAsia="es-ES"/>
              </w:rPr>
              <w:t>5.0 m</w:t>
            </w:r>
            <w:r>
              <w:rPr>
                <w:color w:val="252525"/>
                <w:sz w:val="24"/>
                <w:szCs w:val="24"/>
                <w:shd w:val="clear" w:color="auto" w:fill="FFFFFF"/>
                <w:lang w:val="de-DE"/>
              </w:rPr>
              <w:t>³</w:t>
            </w:r>
          </w:p>
        </w:tc>
      </w:tr>
      <w:tr w:rsidR="00E95503" w:rsidTr="00E95503">
        <w:trPr>
          <w:trHeight w:val="541"/>
        </w:trPr>
        <w:tc>
          <w:tcPr>
            <w:tcW w:w="1853" w:type="dxa"/>
            <w:tcBorders>
              <w:top w:val="nil"/>
              <w:left w:val="single" w:sz="8" w:space="0" w:color="auto"/>
              <w:bottom w:val="single" w:sz="8" w:space="0" w:color="auto"/>
              <w:right w:val="nil"/>
            </w:tcBorders>
            <w:shd w:val="clear" w:color="auto" w:fill="FFFFFF"/>
            <w:tcMar>
              <w:top w:w="0" w:type="dxa"/>
              <w:left w:w="70" w:type="dxa"/>
              <w:bottom w:w="0" w:type="dxa"/>
              <w:right w:w="70" w:type="dxa"/>
            </w:tcMar>
            <w:vAlign w:val="center"/>
            <w:hideMark/>
          </w:tcPr>
          <w:p w:rsidR="00E95503" w:rsidRDefault="00015E9A">
            <w:pPr>
              <w:rPr>
                <w:rFonts w:eastAsiaTheme="minorHAnsi" w:cs="Arial"/>
                <w:szCs w:val="19"/>
                <w:lang w:val="de-DE" w:eastAsia="es-ES"/>
              </w:rPr>
            </w:pPr>
            <w:r>
              <w:t xml:space="preserve">Puissance </w:t>
            </w:r>
            <w:r w:rsidR="00E95503" w:rsidRPr="008457A2">
              <w:t>maximale</w:t>
            </w:r>
          </w:p>
        </w:tc>
        <w:tc>
          <w:tcPr>
            <w:tcW w:w="641" w:type="dxa"/>
            <w:tcBorders>
              <w:top w:val="nil"/>
              <w:left w:val="single" w:sz="8" w:space="0" w:color="auto"/>
              <w:bottom w:val="single" w:sz="8" w:space="0" w:color="auto"/>
              <w:right w:val="single" w:sz="8" w:space="0" w:color="auto"/>
            </w:tcBorders>
            <w:shd w:val="clear" w:color="auto" w:fill="FFFFFF"/>
            <w:vAlign w:val="center"/>
            <w:hideMark/>
          </w:tcPr>
          <w:p w:rsidR="00E95503" w:rsidRDefault="00E95503" w:rsidP="00015E9A">
            <w:pPr>
              <w:jc w:val="center"/>
              <w:rPr>
                <w:rFonts w:eastAsiaTheme="minorHAnsi" w:cs="Arial"/>
                <w:szCs w:val="19"/>
                <w:lang w:val="de-DE" w:eastAsia="es-ES"/>
              </w:rPr>
            </w:pPr>
            <w:r>
              <w:rPr>
                <w:lang w:val="de-DE" w:eastAsia="es-ES"/>
              </w:rPr>
              <w:t xml:space="preserve">142 </w:t>
            </w:r>
            <w:r w:rsidR="00015E9A">
              <w:rPr>
                <w:lang w:val="de-DE" w:eastAsia="es-ES"/>
              </w:rPr>
              <w:t>hp</w:t>
            </w:r>
          </w:p>
        </w:tc>
        <w:tc>
          <w:tcPr>
            <w:tcW w:w="1019" w:type="dxa"/>
            <w:tcBorders>
              <w:top w:val="nil"/>
              <w:left w:val="nil"/>
              <w:bottom w:val="single" w:sz="8" w:space="0" w:color="auto"/>
              <w:right w:val="single" w:sz="8" w:space="0" w:color="auto"/>
            </w:tcBorders>
            <w:shd w:val="clear" w:color="auto" w:fill="FFFFFF"/>
            <w:vAlign w:val="center"/>
            <w:hideMark/>
          </w:tcPr>
          <w:p w:rsidR="00E95503" w:rsidRDefault="00E95503">
            <w:pPr>
              <w:jc w:val="center"/>
              <w:rPr>
                <w:rFonts w:eastAsiaTheme="minorHAnsi" w:cs="Arial"/>
                <w:szCs w:val="19"/>
                <w:lang w:val="de-DE" w:eastAsia="es-ES"/>
              </w:rPr>
            </w:pPr>
            <w:r>
              <w:rPr>
                <w:lang w:val="de-DE" w:eastAsia="es-ES"/>
              </w:rPr>
              <w:t>172 hp</w:t>
            </w:r>
          </w:p>
        </w:tc>
        <w:tc>
          <w:tcPr>
            <w:tcW w:w="1019" w:type="dxa"/>
            <w:tcBorders>
              <w:top w:val="nil"/>
              <w:left w:val="nil"/>
              <w:bottom w:val="single" w:sz="8" w:space="0" w:color="auto"/>
              <w:right w:val="single" w:sz="8" w:space="0" w:color="auto"/>
            </w:tcBorders>
            <w:shd w:val="clear" w:color="auto" w:fill="FFFFFF"/>
            <w:vAlign w:val="center"/>
            <w:hideMark/>
          </w:tcPr>
          <w:p w:rsidR="00E95503" w:rsidRDefault="00E95503">
            <w:pPr>
              <w:jc w:val="center"/>
              <w:rPr>
                <w:rFonts w:eastAsiaTheme="minorHAnsi" w:cs="Arial"/>
                <w:szCs w:val="19"/>
                <w:lang w:val="de-DE" w:eastAsia="es-ES"/>
              </w:rPr>
            </w:pPr>
            <w:r>
              <w:rPr>
                <w:lang w:val="de-DE" w:eastAsia="es-ES"/>
              </w:rPr>
              <w:t>195 hp</w:t>
            </w:r>
          </w:p>
        </w:tc>
        <w:tc>
          <w:tcPr>
            <w:tcW w:w="1019" w:type="dxa"/>
            <w:tcBorders>
              <w:top w:val="nil"/>
              <w:left w:val="nil"/>
              <w:bottom w:val="single" w:sz="8" w:space="0" w:color="auto"/>
              <w:right w:val="single" w:sz="8" w:space="0" w:color="auto"/>
            </w:tcBorders>
            <w:shd w:val="clear" w:color="auto" w:fill="FFFFFF"/>
            <w:vAlign w:val="center"/>
            <w:hideMark/>
          </w:tcPr>
          <w:p w:rsidR="00E95503" w:rsidRDefault="00E95503">
            <w:pPr>
              <w:jc w:val="center"/>
              <w:rPr>
                <w:rFonts w:eastAsiaTheme="minorHAnsi" w:cs="Arial"/>
                <w:szCs w:val="19"/>
                <w:lang w:val="de-DE" w:eastAsia="es-ES"/>
              </w:rPr>
            </w:pPr>
            <w:r>
              <w:rPr>
                <w:lang w:val="de-DE" w:eastAsia="es-ES"/>
              </w:rPr>
              <w:t>230 hp</w:t>
            </w:r>
          </w:p>
        </w:tc>
        <w:tc>
          <w:tcPr>
            <w:tcW w:w="1019" w:type="dxa"/>
            <w:tcBorders>
              <w:top w:val="nil"/>
              <w:left w:val="nil"/>
              <w:bottom w:val="single" w:sz="8" w:space="0" w:color="auto"/>
              <w:right w:val="single" w:sz="8" w:space="0" w:color="auto"/>
            </w:tcBorders>
            <w:shd w:val="clear" w:color="auto" w:fill="FFFFFF"/>
            <w:vAlign w:val="center"/>
            <w:hideMark/>
          </w:tcPr>
          <w:p w:rsidR="00E95503" w:rsidRDefault="00E95503">
            <w:pPr>
              <w:jc w:val="center"/>
              <w:rPr>
                <w:rFonts w:eastAsiaTheme="minorHAnsi" w:cs="Arial"/>
                <w:szCs w:val="19"/>
                <w:lang w:val="de-DE" w:eastAsia="es-ES"/>
              </w:rPr>
            </w:pPr>
            <w:r>
              <w:rPr>
                <w:lang w:val="de-DE" w:eastAsia="es-ES"/>
              </w:rPr>
              <w:t>255 hp</w:t>
            </w:r>
          </w:p>
        </w:tc>
        <w:tc>
          <w:tcPr>
            <w:tcW w:w="1019" w:type="dxa"/>
            <w:tcBorders>
              <w:top w:val="nil"/>
              <w:left w:val="nil"/>
              <w:bottom w:val="single" w:sz="8" w:space="0" w:color="auto"/>
              <w:right w:val="single" w:sz="8" w:space="0" w:color="auto"/>
            </w:tcBorders>
            <w:shd w:val="clear" w:color="auto" w:fill="FFFFFF"/>
            <w:vAlign w:val="center"/>
            <w:hideMark/>
          </w:tcPr>
          <w:p w:rsidR="00E95503" w:rsidRDefault="00E95503">
            <w:pPr>
              <w:jc w:val="center"/>
              <w:rPr>
                <w:rFonts w:eastAsiaTheme="minorHAnsi" w:cs="Arial"/>
                <w:szCs w:val="19"/>
                <w:lang w:val="de-DE" w:eastAsia="es-ES"/>
              </w:rPr>
            </w:pPr>
            <w:r>
              <w:rPr>
                <w:lang w:val="de-DE" w:eastAsia="es-ES"/>
              </w:rPr>
              <w:t>320 hp</w:t>
            </w:r>
          </w:p>
        </w:tc>
        <w:tc>
          <w:tcPr>
            <w:tcW w:w="1019" w:type="dxa"/>
            <w:tcBorders>
              <w:top w:val="nil"/>
              <w:left w:val="nil"/>
              <w:bottom w:val="single" w:sz="8" w:space="0" w:color="auto"/>
              <w:right w:val="single" w:sz="8" w:space="0" w:color="auto"/>
            </w:tcBorders>
            <w:shd w:val="clear" w:color="auto" w:fill="FFFFFF"/>
            <w:vAlign w:val="center"/>
            <w:hideMark/>
          </w:tcPr>
          <w:p w:rsidR="00E95503" w:rsidRDefault="00E95503">
            <w:pPr>
              <w:jc w:val="center"/>
              <w:rPr>
                <w:rFonts w:eastAsiaTheme="minorHAnsi" w:cs="Arial"/>
                <w:szCs w:val="19"/>
                <w:lang w:val="de-DE" w:eastAsia="es-ES"/>
              </w:rPr>
            </w:pPr>
            <w:r>
              <w:rPr>
                <w:lang w:val="de-DE" w:eastAsia="es-ES"/>
              </w:rPr>
              <w:t>347 hp</w:t>
            </w:r>
          </w:p>
        </w:tc>
      </w:tr>
      <w:tr w:rsidR="00E95503" w:rsidTr="00E95503">
        <w:trPr>
          <w:trHeight w:val="974"/>
        </w:trPr>
        <w:tc>
          <w:tcPr>
            <w:tcW w:w="1853" w:type="dxa"/>
            <w:tcBorders>
              <w:top w:val="nil"/>
              <w:left w:val="single" w:sz="8" w:space="0" w:color="auto"/>
              <w:bottom w:val="single" w:sz="8" w:space="0" w:color="auto"/>
              <w:right w:val="nil"/>
            </w:tcBorders>
            <w:shd w:val="clear" w:color="auto" w:fill="FFFFFF"/>
            <w:tcMar>
              <w:top w:w="0" w:type="dxa"/>
              <w:left w:w="70" w:type="dxa"/>
              <w:bottom w:w="0" w:type="dxa"/>
              <w:right w:w="70" w:type="dxa"/>
            </w:tcMar>
            <w:vAlign w:val="center"/>
            <w:hideMark/>
          </w:tcPr>
          <w:p w:rsidR="00E95503" w:rsidRDefault="00015E9A">
            <w:pPr>
              <w:rPr>
                <w:rFonts w:ascii="Calibri" w:eastAsiaTheme="minorHAnsi" w:hAnsi="Calibri"/>
                <w:sz w:val="22"/>
                <w:szCs w:val="22"/>
                <w:lang w:val="de-DE" w:eastAsia="es-ES"/>
              </w:rPr>
            </w:pPr>
            <w:r>
              <w:rPr>
                <w:lang w:val="de-DE" w:eastAsia="es-ES"/>
              </w:rPr>
              <w:t>Poids</w:t>
            </w:r>
          </w:p>
        </w:tc>
        <w:tc>
          <w:tcPr>
            <w:tcW w:w="641" w:type="dxa"/>
            <w:tcBorders>
              <w:top w:val="nil"/>
              <w:left w:val="single" w:sz="8" w:space="0" w:color="auto"/>
              <w:bottom w:val="single" w:sz="8" w:space="0" w:color="auto"/>
              <w:right w:val="single" w:sz="8" w:space="0" w:color="auto"/>
            </w:tcBorders>
            <w:shd w:val="clear" w:color="auto" w:fill="FFFFFF"/>
            <w:vAlign w:val="center"/>
            <w:hideMark/>
          </w:tcPr>
          <w:p w:rsidR="00E95503" w:rsidRDefault="00E95503">
            <w:pPr>
              <w:jc w:val="center"/>
              <w:rPr>
                <w:rFonts w:eastAsiaTheme="minorHAnsi" w:cs="Arial"/>
                <w:szCs w:val="19"/>
                <w:lang w:val="de-DE" w:eastAsia="es-ES"/>
              </w:rPr>
            </w:pPr>
            <w:r>
              <w:rPr>
                <w:lang w:val="de-DE" w:eastAsia="es-ES"/>
              </w:rPr>
              <w:t>12.2 t</w:t>
            </w:r>
          </w:p>
        </w:tc>
        <w:tc>
          <w:tcPr>
            <w:tcW w:w="1019" w:type="dxa"/>
            <w:tcBorders>
              <w:top w:val="nil"/>
              <w:left w:val="nil"/>
              <w:bottom w:val="single" w:sz="8" w:space="0" w:color="auto"/>
              <w:right w:val="single" w:sz="8" w:space="0" w:color="auto"/>
            </w:tcBorders>
            <w:shd w:val="clear" w:color="auto" w:fill="FFFFFF"/>
            <w:vAlign w:val="center"/>
            <w:hideMark/>
          </w:tcPr>
          <w:p w:rsidR="00E95503" w:rsidRDefault="00E95503">
            <w:pPr>
              <w:jc w:val="center"/>
              <w:rPr>
                <w:rFonts w:eastAsiaTheme="minorHAnsi" w:cs="Arial"/>
                <w:szCs w:val="19"/>
                <w:lang w:val="de-DE" w:eastAsia="es-ES"/>
              </w:rPr>
            </w:pPr>
            <w:r>
              <w:rPr>
                <w:lang w:val="de-DE" w:eastAsia="es-ES"/>
              </w:rPr>
              <w:t>14.2 t</w:t>
            </w:r>
          </w:p>
        </w:tc>
        <w:tc>
          <w:tcPr>
            <w:tcW w:w="1019" w:type="dxa"/>
            <w:tcBorders>
              <w:top w:val="nil"/>
              <w:left w:val="nil"/>
              <w:bottom w:val="single" w:sz="8" w:space="0" w:color="auto"/>
              <w:right w:val="single" w:sz="8" w:space="0" w:color="auto"/>
            </w:tcBorders>
            <w:shd w:val="clear" w:color="auto" w:fill="FFFFFF"/>
            <w:vAlign w:val="center"/>
            <w:hideMark/>
          </w:tcPr>
          <w:p w:rsidR="00E95503" w:rsidRDefault="00E95503">
            <w:pPr>
              <w:jc w:val="center"/>
              <w:rPr>
                <w:rFonts w:eastAsiaTheme="minorHAnsi" w:cs="Arial"/>
                <w:szCs w:val="19"/>
                <w:lang w:val="de-DE" w:eastAsia="es-ES"/>
              </w:rPr>
            </w:pPr>
            <w:r>
              <w:rPr>
                <w:lang w:val="de-DE" w:eastAsia="es-ES"/>
              </w:rPr>
              <w:t>16.2 t</w:t>
            </w:r>
          </w:p>
        </w:tc>
        <w:tc>
          <w:tcPr>
            <w:tcW w:w="1019" w:type="dxa"/>
            <w:tcBorders>
              <w:top w:val="nil"/>
              <w:left w:val="nil"/>
              <w:bottom w:val="single" w:sz="8" w:space="0" w:color="auto"/>
              <w:right w:val="single" w:sz="8" w:space="0" w:color="auto"/>
            </w:tcBorders>
            <w:shd w:val="clear" w:color="auto" w:fill="FFFFFF"/>
            <w:vAlign w:val="center"/>
            <w:hideMark/>
          </w:tcPr>
          <w:p w:rsidR="00E95503" w:rsidRDefault="00E95503">
            <w:pPr>
              <w:jc w:val="center"/>
              <w:rPr>
                <w:rFonts w:eastAsiaTheme="minorHAnsi" w:cs="Arial"/>
                <w:szCs w:val="19"/>
                <w:lang w:val="de-DE" w:eastAsia="es-ES"/>
              </w:rPr>
            </w:pPr>
            <w:r>
              <w:rPr>
                <w:lang w:val="de-DE" w:eastAsia="es-ES"/>
              </w:rPr>
              <w:t>19.4 t</w:t>
            </w:r>
          </w:p>
        </w:tc>
        <w:tc>
          <w:tcPr>
            <w:tcW w:w="1019" w:type="dxa"/>
            <w:tcBorders>
              <w:top w:val="nil"/>
              <w:left w:val="nil"/>
              <w:bottom w:val="single" w:sz="8" w:space="0" w:color="auto"/>
              <w:right w:val="single" w:sz="8" w:space="0" w:color="auto"/>
            </w:tcBorders>
            <w:shd w:val="clear" w:color="auto" w:fill="FFFFFF"/>
            <w:vAlign w:val="center"/>
            <w:hideMark/>
          </w:tcPr>
          <w:p w:rsidR="00E95503" w:rsidRDefault="00E95503">
            <w:pPr>
              <w:jc w:val="center"/>
              <w:rPr>
                <w:rFonts w:eastAsiaTheme="minorHAnsi" w:cs="Arial"/>
                <w:szCs w:val="19"/>
                <w:lang w:val="de-DE" w:eastAsia="es-ES"/>
              </w:rPr>
            </w:pPr>
            <w:r>
              <w:rPr>
                <w:lang w:val="de-DE" w:eastAsia="es-ES"/>
              </w:rPr>
              <w:t>21.7 t</w:t>
            </w:r>
          </w:p>
        </w:tc>
        <w:tc>
          <w:tcPr>
            <w:tcW w:w="1019" w:type="dxa"/>
            <w:tcBorders>
              <w:top w:val="nil"/>
              <w:left w:val="nil"/>
              <w:bottom w:val="single" w:sz="8" w:space="0" w:color="auto"/>
              <w:right w:val="single" w:sz="8" w:space="0" w:color="auto"/>
            </w:tcBorders>
            <w:shd w:val="clear" w:color="auto" w:fill="FFFFFF"/>
            <w:vAlign w:val="center"/>
            <w:hideMark/>
          </w:tcPr>
          <w:p w:rsidR="00E95503" w:rsidRDefault="00E95503">
            <w:pPr>
              <w:jc w:val="center"/>
              <w:rPr>
                <w:rFonts w:eastAsiaTheme="minorHAnsi" w:cs="Arial"/>
                <w:szCs w:val="19"/>
                <w:lang w:val="de-DE" w:eastAsia="es-ES"/>
              </w:rPr>
            </w:pPr>
            <w:r>
              <w:rPr>
                <w:lang w:val="de-DE" w:eastAsia="es-ES"/>
              </w:rPr>
              <w:t>27.9 t</w:t>
            </w:r>
          </w:p>
        </w:tc>
        <w:tc>
          <w:tcPr>
            <w:tcW w:w="1019" w:type="dxa"/>
            <w:tcBorders>
              <w:top w:val="nil"/>
              <w:left w:val="nil"/>
              <w:bottom w:val="single" w:sz="8" w:space="0" w:color="auto"/>
              <w:right w:val="single" w:sz="8" w:space="0" w:color="auto"/>
            </w:tcBorders>
            <w:shd w:val="clear" w:color="auto" w:fill="FFFFFF"/>
            <w:vAlign w:val="center"/>
            <w:hideMark/>
          </w:tcPr>
          <w:p w:rsidR="00E95503" w:rsidRDefault="00E95503">
            <w:pPr>
              <w:jc w:val="center"/>
              <w:rPr>
                <w:rFonts w:eastAsiaTheme="minorHAnsi" w:cs="Arial"/>
                <w:szCs w:val="19"/>
                <w:lang w:val="it-IT" w:eastAsia="es-ES"/>
              </w:rPr>
            </w:pPr>
            <w:r>
              <w:rPr>
                <w:lang w:val="de-DE" w:eastAsia="es-ES"/>
              </w:rPr>
              <w:t>3</w:t>
            </w:r>
            <w:r>
              <w:rPr>
                <w:lang w:eastAsia="es-ES"/>
              </w:rPr>
              <w:t>0.0 t</w:t>
            </w:r>
          </w:p>
        </w:tc>
      </w:tr>
    </w:tbl>
    <w:p w:rsidR="00E95503" w:rsidRDefault="00E95503" w:rsidP="00020BCA">
      <w:pPr>
        <w:pStyle w:val="01TESTO"/>
        <w:shd w:val="clear" w:color="auto" w:fill="FFFFFF" w:themeFill="background1"/>
        <w:spacing w:after="200"/>
        <w:jc w:val="both"/>
        <w:rPr>
          <w:color w:val="auto"/>
        </w:rPr>
      </w:pPr>
    </w:p>
    <w:p w:rsidR="00E51B7A" w:rsidRPr="008457A2" w:rsidRDefault="00E51B7A">
      <w:pPr>
        <w:spacing w:line="240" w:lineRule="auto"/>
      </w:pPr>
    </w:p>
    <w:p w:rsidR="00E51B7A" w:rsidRPr="009C7449" w:rsidRDefault="00E51B7A" w:rsidP="00E51B7A">
      <w:pPr>
        <w:jc w:val="both"/>
        <w:rPr>
          <w:rFonts w:cs="Arial"/>
          <w:szCs w:val="19"/>
        </w:rPr>
      </w:pPr>
      <w:r w:rsidRPr="008457A2">
        <w:rPr>
          <w:rFonts w:cs="Arial"/>
          <w:szCs w:val="18"/>
        </w:rPr>
        <w:t xml:space="preserve">En vous rendant sur notre site Web, vous pourrez télécharger des fichiers de textes et d'images haute résolution, ainsi que des vidéos en lien direct avec ce communiqué de presse (jpg 300 dpi, CMJN) : </w:t>
      </w:r>
      <w:hyperlink r:id="rId10" w:history="1">
        <w:r w:rsidRPr="008457A2">
          <w:rPr>
            <w:rFonts w:cs="Arial"/>
            <w:color w:val="0000FF"/>
            <w:szCs w:val="18"/>
            <w:u w:val="single"/>
          </w:rPr>
          <w:t>www.casecetools.com/press-kit</w:t>
        </w:r>
      </w:hyperlink>
    </w:p>
    <w:p w:rsidR="00E51B7A" w:rsidRPr="009C7449" w:rsidRDefault="00E51B7A" w:rsidP="00E51B7A">
      <w:pPr>
        <w:jc w:val="both"/>
        <w:rPr>
          <w:rFonts w:cs="Arial"/>
          <w:szCs w:val="19"/>
        </w:rPr>
      </w:pPr>
    </w:p>
    <w:p w:rsidR="00E51B7A" w:rsidRDefault="00E51B7A" w:rsidP="00E51B7A">
      <w:pPr>
        <w:spacing w:line="240" w:lineRule="auto"/>
        <w:jc w:val="both"/>
        <w:rPr>
          <w:rFonts w:cs="Arial"/>
          <w:b/>
          <w:szCs w:val="18"/>
        </w:rPr>
      </w:pPr>
    </w:p>
    <w:p w:rsidR="00E51B7A" w:rsidRPr="009C7449" w:rsidRDefault="00E51B7A" w:rsidP="00E51B7A">
      <w:pPr>
        <w:spacing w:line="240" w:lineRule="auto"/>
        <w:jc w:val="both"/>
        <w:rPr>
          <w:rFonts w:cs="Arial"/>
          <w:b/>
          <w:sz w:val="18"/>
          <w:szCs w:val="18"/>
        </w:rPr>
      </w:pPr>
      <w:r w:rsidRPr="009C7449">
        <w:rPr>
          <w:rFonts w:cs="Arial"/>
          <w:b/>
          <w:szCs w:val="18"/>
        </w:rPr>
        <w:t>Suivez CASE sur :</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E51B7A" w:rsidRPr="009C7449" w:rsidTr="009A2AFB">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E51B7A" w:rsidRPr="009C7449" w:rsidTr="009A2AFB">
              <w:trPr>
                <w:trHeight w:val="442"/>
                <w:tblCellSpacing w:w="0" w:type="dxa"/>
              </w:trPr>
              <w:tc>
                <w:tcPr>
                  <w:tcW w:w="570" w:type="dxa"/>
                  <w:vAlign w:val="center"/>
                  <w:hideMark/>
                </w:tcPr>
                <w:p w:rsidR="00E51B7A" w:rsidRPr="009C7449" w:rsidRDefault="00E51B7A" w:rsidP="009A2AFB">
                  <w:pPr>
                    <w:spacing w:line="240" w:lineRule="auto"/>
                    <w:jc w:val="both"/>
                    <w:rPr>
                      <w:rFonts w:ascii="Calibri" w:eastAsia="Calibri" w:hAnsi="Calibri"/>
                      <w:sz w:val="22"/>
                      <w:szCs w:val="22"/>
                      <w:lang w:eastAsia="zh-CN"/>
                    </w:rPr>
                  </w:pPr>
                  <w:r w:rsidRPr="009C7449">
                    <w:rPr>
                      <w:noProof/>
                      <w:lang w:val="es-ES" w:eastAsia="es-ES" w:bidi="ar-SA"/>
                    </w:rPr>
                    <w:drawing>
                      <wp:inline distT="0" distB="0" distL="0" distR="0">
                        <wp:extent cx="192405" cy="192405"/>
                        <wp:effectExtent l="0" t="0" r="0" b="0"/>
                        <wp:docPr id="4" name="Imagen 15" descr="Description : F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tion : FB">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570" w:type="dxa"/>
                  <w:vAlign w:val="center"/>
                  <w:hideMark/>
                </w:tcPr>
                <w:p w:rsidR="00E51B7A" w:rsidRPr="009C7449" w:rsidRDefault="00E51B7A" w:rsidP="009A2AFB">
                  <w:pPr>
                    <w:spacing w:line="240" w:lineRule="auto"/>
                    <w:jc w:val="both"/>
                    <w:rPr>
                      <w:rFonts w:ascii="Calibri" w:eastAsia="Calibri" w:hAnsi="Calibri"/>
                      <w:sz w:val="22"/>
                      <w:szCs w:val="22"/>
                      <w:lang w:eastAsia="zh-CN"/>
                    </w:rPr>
                  </w:pPr>
                  <w:r w:rsidRPr="009C7449">
                    <w:rPr>
                      <w:rFonts w:ascii="Times New Roman" w:hAnsi="Times New Roman"/>
                      <w:noProof/>
                      <w:color w:val="0000FF"/>
                      <w:sz w:val="24"/>
                      <w:szCs w:val="24"/>
                      <w:lang w:val="es-ES" w:eastAsia="es-ES" w:bidi="ar-SA"/>
                    </w:rPr>
                    <w:drawing>
                      <wp:inline distT="0" distB="0" distL="0" distR="0">
                        <wp:extent cx="192405" cy="192405"/>
                        <wp:effectExtent l="0" t="0" r="0" b="0"/>
                        <wp:docPr id="5" name="Image 5" descr="cid:image002.gif@01D123A8.097F989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02.gif@01D123A8.097F98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570" w:type="dxa"/>
                  <w:vAlign w:val="center"/>
                  <w:hideMark/>
                </w:tcPr>
                <w:p w:rsidR="00E51B7A" w:rsidRPr="009C7449" w:rsidRDefault="00E51B7A" w:rsidP="009A2AFB">
                  <w:pPr>
                    <w:spacing w:line="240" w:lineRule="auto"/>
                    <w:jc w:val="both"/>
                    <w:rPr>
                      <w:rFonts w:ascii="Calibri" w:eastAsia="Calibri" w:hAnsi="Calibri"/>
                      <w:sz w:val="22"/>
                      <w:szCs w:val="22"/>
                      <w:lang w:eastAsia="zh-CN"/>
                    </w:rPr>
                  </w:pPr>
                  <w:r w:rsidRPr="009C7449">
                    <w:rPr>
                      <w:rFonts w:ascii="Times New Roman" w:hAnsi="Times New Roman"/>
                      <w:noProof/>
                      <w:color w:val="0000FF"/>
                      <w:sz w:val="24"/>
                      <w:szCs w:val="24"/>
                      <w:lang w:val="es-ES" w:eastAsia="es-ES" w:bidi="ar-SA"/>
                    </w:rPr>
                    <w:drawing>
                      <wp:inline distT="0" distB="0" distL="0" distR="0">
                        <wp:extent cx="192405" cy="192405"/>
                        <wp:effectExtent l="0" t="0" r="0" b="0"/>
                        <wp:docPr id="6" name="Image 6" descr="cid:image003.gif@01D123A8.097F98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3.gif@01D123A8.097F98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c>
                <w:tcPr>
                  <w:tcW w:w="570" w:type="dxa"/>
                  <w:vAlign w:val="center"/>
                  <w:hideMark/>
                </w:tcPr>
                <w:p w:rsidR="00E51B7A" w:rsidRPr="009C7449" w:rsidRDefault="00E51B7A" w:rsidP="009A2AFB">
                  <w:pPr>
                    <w:spacing w:line="240" w:lineRule="auto"/>
                    <w:jc w:val="both"/>
                    <w:rPr>
                      <w:rFonts w:ascii="Calibri" w:eastAsia="Calibri" w:hAnsi="Calibri"/>
                      <w:sz w:val="22"/>
                      <w:szCs w:val="22"/>
                      <w:lang w:eastAsia="zh-CN"/>
                    </w:rPr>
                  </w:pPr>
                  <w:r w:rsidRPr="009C7449">
                    <w:rPr>
                      <w:rFonts w:ascii="Times New Roman" w:hAnsi="Times New Roman"/>
                      <w:noProof/>
                      <w:color w:val="0000FF"/>
                      <w:sz w:val="24"/>
                      <w:szCs w:val="24"/>
                      <w:lang w:val="es-ES" w:eastAsia="es-ES" w:bidi="ar-SA"/>
                    </w:rPr>
                    <w:drawing>
                      <wp:inline distT="0" distB="0" distL="0" distR="0">
                        <wp:extent cx="192405" cy="192405"/>
                        <wp:effectExtent l="0" t="0" r="0" b="0"/>
                        <wp:docPr id="7" name="Image 7" descr="cid:image004.gif@01D123A8.097F989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image004.gif@01D123A8.097F98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r>
          </w:tbl>
          <w:p w:rsidR="00E51B7A" w:rsidRPr="009C7449" w:rsidRDefault="00E51B7A" w:rsidP="009A2AFB">
            <w:pPr>
              <w:spacing w:after="200" w:line="276" w:lineRule="auto"/>
              <w:rPr>
                <w:rFonts w:ascii="Calibri" w:eastAsia="SimSun" w:hAnsi="Calibri"/>
                <w:color w:val="auto"/>
                <w:sz w:val="22"/>
                <w:szCs w:val="22"/>
                <w:lang w:eastAsia="zh-CN"/>
              </w:rPr>
            </w:pPr>
          </w:p>
        </w:tc>
        <w:tc>
          <w:tcPr>
            <w:tcW w:w="130" w:type="dxa"/>
            <w:vAlign w:val="center"/>
            <w:hideMark/>
          </w:tcPr>
          <w:p w:rsidR="00E51B7A" w:rsidRPr="009C7449" w:rsidRDefault="00E51B7A" w:rsidP="009A2AFB">
            <w:pPr>
              <w:spacing w:line="240" w:lineRule="auto"/>
              <w:jc w:val="both"/>
              <w:rPr>
                <w:rFonts w:ascii="Calibri" w:eastAsia="Calibri" w:hAnsi="Calibri"/>
                <w:sz w:val="22"/>
                <w:szCs w:val="22"/>
                <w:lang w:eastAsia="zh-CN"/>
              </w:rPr>
            </w:pPr>
            <w:r w:rsidRPr="009C7449">
              <w:rPr>
                <w:rFonts w:ascii="Times New Roman" w:hAnsi="Times New Roman"/>
                <w:sz w:val="20"/>
                <w:lang w:eastAsia="zh-CN"/>
              </w:rPr>
              <w:t> </w:t>
            </w:r>
          </w:p>
        </w:tc>
        <w:tc>
          <w:tcPr>
            <w:tcW w:w="226" w:type="dxa"/>
            <w:vAlign w:val="center"/>
            <w:hideMark/>
          </w:tcPr>
          <w:p w:rsidR="00E51B7A" w:rsidRPr="009C7449" w:rsidRDefault="00E51B7A" w:rsidP="009A2AFB">
            <w:pPr>
              <w:spacing w:line="240" w:lineRule="auto"/>
              <w:jc w:val="both"/>
              <w:rPr>
                <w:rFonts w:ascii="Calibri" w:eastAsia="Calibri" w:hAnsi="Calibri"/>
                <w:sz w:val="22"/>
                <w:szCs w:val="22"/>
                <w:lang w:eastAsia="zh-CN"/>
              </w:rPr>
            </w:pPr>
            <w:r w:rsidRPr="009C7449">
              <w:rPr>
                <w:rFonts w:ascii="Times New Roman" w:hAnsi="Times New Roman"/>
                <w:sz w:val="20"/>
                <w:lang w:eastAsia="zh-CN"/>
              </w:rPr>
              <w:t> </w:t>
            </w:r>
          </w:p>
        </w:tc>
        <w:tc>
          <w:tcPr>
            <w:tcW w:w="5867" w:type="dxa"/>
            <w:vAlign w:val="center"/>
            <w:hideMark/>
          </w:tcPr>
          <w:p w:rsidR="00E51B7A" w:rsidRPr="009C7449" w:rsidRDefault="00E51B7A" w:rsidP="009A2AFB">
            <w:pPr>
              <w:spacing w:line="240" w:lineRule="auto"/>
              <w:jc w:val="both"/>
              <w:rPr>
                <w:rFonts w:ascii="Calibri" w:eastAsia="Calibri" w:hAnsi="Calibri"/>
                <w:sz w:val="22"/>
                <w:szCs w:val="22"/>
                <w:lang w:eastAsia="zh-CN"/>
              </w:rPr>
            </w:pPr>
            <w:r w:rsidRPr="009C7449">
              <w:rPr>
                <w:rFonts w:ascii="Verdana" w:hAnsi="Verdana"/>
                <w:lang w:eastAsia="zh-CN"/>
              </w:rPr>
              <w:t> </w:t>
            </w:r>
          </w:p>
        </w:tc>
      </w:tr>
    </w:tbl>
    <w:p w:rsidR="001B0988" w:rsidRDefault="001B0988" w:rsidP="00E51B7A">
      <w:pPr>
        <w:jc w:val="both"/>
        <w:rPr>
          <w:i/>
          <w:sz w:val="16"/>
        </w:rPr>
      </w:pPr>
    </w:p>
    <w:p w:rsidR="001B0988" w:rsidRDefault="001B0988">
      <w:pPr>
        <w:spacing w:line="240" w:lineRule="auto"/>
        <w:rPr>
          <w:i/>
          <w:sz w:val="16"/>
        </w:rPr>
      </w:pPr>
      <w:r>
        <w:rPr>
          <w:i/>
          <w:sz w:val="16"/>
        </w:rPr>
        <w:br w:type="page"/>
      </w:r>
    </w:p>
    <w:p w:rsidR="00E51B7A" w:rsidRPr="009C7449" w:rsidRDefault="00E51B7A" w:rsidP="00E51B7A">
      <w:pPr>
        <w:jc w:val="both"/>
        <w:rPr>
          <w:rFonts w:cs="Arial"/>
          <w:i/>
          <w:color w:val="auto"/>
          <w:sz w:val="16"/>
          <w:szCs w:val="16"/>
        </w:rPr>
      </w:pPr>
      <w:bookmarkStart w:id="0" w:name="_GoBack"/>
      <w:bookmarkEnd w:id="0"/>
      <w:r w:rsidRPr="009C7449">
        <w:rPr>
          <w:i/>
          <w:sz w:val="16"/>
        </w:rPr>
        <w:lastRenderedPageBreak/>
        <w:t xml:space="preserve">CASE Construction Equipment vend et assure le service d'une gamme complète d'engins de chantier dans le monde entier : chargeuses-pelleteuses n° 1 sur le marché, pelles hydrauliques, niveleuses, chargeuses sur pneus, rouleaux vibrants, bouteurs, chargeuses compactes sur pneus et sur chenilles, chariots élévateurs. Dans les concessions CASE, les clients ont à leur disposition de véritables professionnels, qui leur proposent des équipements et un service après-vente de première classe, des garanties incomparables dans le secteur et des options de financement flexibles. Pour plus d'informations, rendez-vous sur </w:t>
      </w:r>
      <w:hyperlink r:id="rId22" w:history="1">
        <w:r w:rsidRPr="009C7449">
          <w:rPr>
            <w:i/>
            <w:color w:val="0000FF"/>
            <w:u w:val="single"/>
          </w:rPr>
          <w:t>www.CASEce.com</w:t>
        </w:r>
      </w:hyperlink>
      <w:r w:rsidRPr="009C7449">
        <w:rPr>
          <w:i/>
          <w:sz w:val="16"/>
        </w:rPr>
        <w:t>.</w:t>
      </w:r>
    </w:p>
    <w:p w:rsidR="00E51B7A" w:rsidRPr="009C7449" w:rsidRDefault="00E51B7A" w:rsidP="00E51B7A">
      <w:pPr>
        <w:jc w:val="both"/>
        <w:rPr>
          <w:rFonts w:cs="Arial"/>
          <w:i/>
          <w:sz w:val="16"/>
          <w:szCs w:val="16"/>
        </w:rPr>
      </w:pPr>
      <w:r w:rsidRPr="009C7449">
        <w:rPr>
          <w:i/>
          <w:sz w:val="16"/>
        </w:rPr>
        <w:t xml:space="preserve">CASE Construction Equipment est une marque de CNH Industrial N.V., un leader mondial des biens d'équipement coté au New York Stock Exchange (NYSE : CNHI) et au Mercato Telematico Azionario de la Bourse d'Italie (MI : CNHI). Davantage d'informations sur </w:t>
      </w:r>
      <w:hyperlink r:id="rId23" w:history="1">
        <w:r w:rsidRPr="009C7449">
          <w:rPr>
            <w:i/>
            <w:color w:val="0000FF"/>
            <w:u w:val="single"/>
          </w:rPr>
          <w:t>www.cnhindustrial.com</w:t>
        </w:r>
      </w:hyperlink>
      <w:r w:rsidRPr="009C7449">
        <w:rPr>
          <w:color w:val="0000FF"/>
          <w:u w:val="single"/>
        </w:rPr>
        <w:t>.</w:t>
      </w:r>
    </w:p>
    <w:p w:rsidR="00E51B7A" w:rsidRPr="009C7449" w:rsidRDefault="00E51B7A" w:rsidP="00E51B7A">
      <w:pPr>
        <w:jc w:val="both"/>
        <w:rPr>
          <w:rFonts w:cs="Arial"/>
          <w:i/>
          <w:color w:val="auto"/>
          <w:sz w:val="16"/>
          <w:szCs w:val="16"/>
        </w:rPr>
      </w:pPr>
    </w:p>
    <w:p w:rsidR="00E51B7A" w:rsidRDefault="00E51B7A" w:rsidP="00E51B7A">
      <w:pPr>
        <w:spacing w:line="240" w:lineRule="auto"/>
        <w:rPr>
          <w:b/>
        </w:rPr>
      </w:pPr>
    </w:p>
    <w:p w:rsidR="00015E9A" w:rsidRPr="009C7449" w:rsidRDefault="00015E9A" w:rsidP="00E51B7A">
      <w:pPr>
        <w:spacing w:line="240" w:lineRule="auto"/>
        <w:rPr>
          <w:b/>
        </w:rPr>
      </w:pPr>
    </w:p>
    <w:p w:rsidR="00E51B7A" w:rsidRPr="009C7449" w:rsidRDefault="00E51B7A" w:rsidP="00E51B7A">
      <w:pPr>
        <w:jc w:val="both"/>
        <w:rPr>
          <w:b/>
        </w:rPr>
      </w:pPr>
      <w:r w:rsidRPr="009C7449">
        <w:rPr>
          <w:b/>
        </w:rPr>
        <w:t>Pour plus d'informations, contactez :</w:t>
      </w:r>
    </w:p>
    <w:p w:rsidR="00E51B7A" w:rsidRPr="009C7449" w:rsidRDefault="00E51B7A" w:rsidP="00E51B7A">
      <w:pPr>
        <w:jc w:val="both"/>
        <w:rPr>
          <w:sz w:val="18"/>
          <w:szCs w:val="18"/>
        </w:rPr>
      </w:pPr>
    </w:p>
    <w:p w:rsidR="00E51B7A" w:rsidRPr="009C7449" w:rsidRDefault="00E51B7A" w:rsidP="00E51B7A">
      <w:pPr>
        <w:jc w:val="both"/>
        <w:rPr>
          <w:rFonts w:ascii="Helvetica" w:hAnsi="Helvetica"/>
          <w:sz w:val="18"/>
          <w:szCs w:val="18"/>
        </w:rPr>
      </w:pPr>
      <w:r w:rsidRPr="009C7449">
        <w:rPr>
          <w:sz w:val="18"/>
        </w:rPr>
        <w:t>Olivier Raymond (ALARCON &amp; HARRIS)</w:t>
      </w:r>
    </w:p>
    <w:p w:rsidR="00E51B7A" w:rsidRPr="009C7449" w:rsidRDefault="00E51B7A" w:rsidP="00E51B7A">
      <w:pPr>
        <w:jc w:val="both"/>
        <w:rPr>
          <w:sz w:val="18"/>
          <w:szCs w:val="18"/>
        </w:rPr>
      </w:pPr>
    </w:p>
    <w:p w:rsidR="00E51B7A" w:rsidRPr="009C7449" w:rsidRDefault="00E51B7A" w:rsidP="00E51B7A">
      <w:pPr>
        <w:jc w:val="both"/>
        <w:rPr>
          <w:sz w:val="18"/>
          <w:szCs w:val="18"/>
        </w:rPr>
      </w:pPr>
      <w:r w:rsidRPr="009C7449">
        <w:rPr>
          <w:sz w:val="18"/>
        </w:rPr>
        <w:t>Tél. : +33 6</w:t>
      </w:r>
      <w:r w:rsidR="00015E9A">
        <w:rPr>
          <w:sz w:val="18"/>
        </w:rPr>
        <w:t xml:space="preserve"> </w:t>
      </w:r>
      <w:r w:rsidRPr="009C7449">
        <w:rPr>
          <w:sz w:val="18"/>
        </w:rPr>
        <w:t>80 34 73 80</w:t>
      </w:r>
    </w:p>
    <w:p w:rsidR="00E51B7A" w:rsidRPr="009C7449" w:rsidRDefault="00E51B7A" w:rsidP="00E51B7A">
      <w:pPr>
        <w:jc w:val="both"/>
        <w:rPr>
          <w:sz w:val="18"/>
          <w:szCs w:val="18"/>
        </w:rPr>
      </w:pPr>
    </w:p>
    <w:p w:rsidR="00E51B7A" w:rsidRPr="009C7449" w:rsidRDefault="00E51B7A" w:rsidP="00E51B7A">
      <w:pPr>
        <w:jc w:val="both"/>
        <w:rPr>
          <w:sz w:val="18"/>
          <w:szCs w:val="18"/>
        </w:rPr>
      </w:pPr>
      <w:r w:rsidRPr="009C7449">
        <w:rPr>
          <w:sz w:val="18"/>
        </w:rPr>
        <w:t xml:space="preserve">Email : </w:t>
      </w:r>
      <w:hyperlink r:id="rId24" w:history="1">
        <w:r w:rsidR="00A10523" w:rsidRPr="0016747C">
          <w:rPr>
            <w:rStyle w:val="Hipervnculo"/>
            <w:sz w:val="18"/>
          </w:rPr>
          <w:t>oraymond@alarconyharris.com</w:t>
        </w:r>
      </w:hyperlink>
      <w:r w:rsidR="00A10523">
        <w:rPr>
          <w:sz w:val="18"/>
        </w:rPr>
        <w:t xml:space="preserve"> </w:t>
      </w:r>
    </w:p>
    <w:p w:rsidR="00E51B7A" w:rsidRDefault="00E51B7A" w:rsidP="00E51B7A">
      <w:pPr>
        <w:pStyle w:val="01TESTO"/>
        <w:spacing w:after="120" w:line="360" w:lineRule="auto"/>
        <w:jc w:val="both"/>
        <w:rPr>
          <w:color w:val="auto"/>
        </w:rPr>
      </w:pPr>
    </w:p>
    <w:p w:rsidR="00CF5319" w:rsidRDefault="00CF5319">
      <w:pPr>
        <w:spacing w:line="240" w:lineRule="auto"/>
        <w:rPr>
          <w:rFonts w:cs="Arial"/>
          <w:szCs w:val="19"/>
        </w:rPr>
      </w:pPr>
    </w:p>
    <w:sectPr w:rsidR="00CF5319" w:rsidSect="00D01F1C">
      <w:headerReference w:type="default" r:id="rId25"/>
      <w:footerReference w:type="default" r:id="rId26"/>
      <w:headerReference w:type="first" r:id="rId27"/>
      <w:footerReference w:type="first" r:id="rId28"/>
      <w:pgSz w:w="11906" w:h="16838"/>
      <w:pgMar w:top="2835" w:right="851" w:bottom="2608" w:left="2552" w:header="567" w:footer="567" w:gutter="0"/>
      <w:cols w:space="708"/>
      <w:titlePg/>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04C1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FD2" w:rsidRDefault="00435FD2">
      <w:pPr>
        <w:spacing w:line="240" w:lineRule="auto"/>
      </w:pPr>
      <w:r>
        <w:separator/>
      </w:r>
    </w:p>
  </w:endnote>
  <w:endnote w:type="continuationSeparator" w:id="0">
    <w:p w:rsidR="00435FD2" w:rsidRDefault="00435F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00000000"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B1" w:rsidRDefault="004230B1" w:rsidP="00D01F1C">
    <w:pPr>
      <w:pStyle w:val="Piedepgina"/>
    </w:pPr>
  </w:p>
  <w:p w:rsidR="004230B1" w:rsidRDefault="004230B1" w:rsidP="00D01F1C">
    <w:pPr>
      <w:pStyle w:val="Piedepgina"/>
    </w:pPr>
  </w:p>
  <w:p w:rsidR="004230B1" w:rsidRDefault="004230B1" w:rsidP="00D01F1C">
    <w:pPr>
      <w:pStyle w:val="Piedepgina"/>
    </w:pPr>
  </w:p>
  <w:p w:rsidR="004230B1" w:rsidRDefault="004230B1"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B1" w:rsidRPr="00C7201A" w:rsidRDefault="004230B1"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FD2" w:rsidRDefault="00435FD2">
      <w:pPr>
        <w:spacing w:line="240" w:lineRule="auto"/>
      </w:pPr>
      <w:r>
        <w:separator/>
      </w:r>
    </w:p>
  </w:footnote>
  <w:footnote w:type="continuationSeparator" w:id="0">
    <w:p w:rsidR="00435FD2" w:rsidRDefault="00435F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B1" w:rsidRDefault="004230B1" w:rsidP="00D01F1C">
    <w:r>
      <w:rPr>
        <w:noProof/>
        <w:lang w:val="es-ES" w:eastAsia="es-ES" w:bidi="ar-SA"/>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AE406C">
      <w:rPr>
        <w:noProof/>
        <w:lang w:val="es-ES" w:eastAsia="es-ES" w:bidi="ar-SA"/>
      </w:rPr>
      <mc:AlternateContent>
        <mc:Choice Requires="wps">
          <w:drawing>
            <wp:anchor distT="4294967295" distB="4294967295" distL="114300" distR="114300" simplePos="0" relativeHeight="251656704" behindDoc="0" locked="0" layoutInCell="1" allowOverlap="1">
              <wp:simplePos x="0" y="0"/>
              <wp:positionH relativeFrom="column">
                <wp:posOffset>-635</wp:posOffset>
              </wp:positionH>
              <wp:positionV relativeFrom="paragraph">
                <wp:posOffset>452754</wp:posOffset>
              </wp:positionV>
              <wp:extent cx="6858000" cy="0"/>
              <wp:effectExtent l="0" t="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SX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zl09CazrgCIlZqZ0Nx9KxezVbT7w4pvWqIOvBI8e1iIC8LGcm7lLBxBi7Yd180gxhy9Dr2&#10;6VzbNkBCB9A5ynG5y8HPHlE4nMyeZmkKqtHel5CiTzTW+c9ctygYJZZAOgKT09b5QIQUfUi4R+mN&#10;kDKqLRXqgO14Po0JTkvBgjOEOXvYr6RFJxLmJX6xKvA8hll9VCyCNZyw9c32RMirDZdLFfCgFKBz&#10;s64D8WOeztez9Swf5KPJepCnVTX4tFnlg8kmmz5V42q1qrKfgVqWF41gjKvArh/OLP878W/P5DpW&#10;9/G8tyF5jx77BWT7fyQdtQzyXQdhr9llZ3uNYR5j8O3thIF/3IP9+MKXvwA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BF&#10;x1SX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4230B1" w:rsidRPr="00C7201A">
      <w:trPr>
        <w:trHeight w:val="735"/>
      </w:trPr>
      <w:tc>
        <w:tcPr>
          <w:tcW w:w="2614" w:type="dxa"/>
          <w:shd w:val="clear" w:color="auto" w:fill="auto"/>
          <w:vAlign w:val="bottom"/>
        </w:tcPr>
        <w:p w:rsidR="004230B1" w:rsidRPr="00750ACB" w:rsidRDefault="004230B1" w:rsidP="00D01F1C">
          <w:pPr>
            <w:pStyle w:val="04FOOTER"/>
            <w:ind w:right="-101"/>
            <w:rPr>
              <w:sz w:val="14"/>
              <w:highlight w:val="yellow"/>
            </w:rPr>
          </w:pPr>
        </w:p>
      </w:tc>
      <w:tc>
        <w:tcPr>
          <w:tcW w:w="2835" w:type="dxa"/>
          <w:vAlign w:val="bottom"/>
        </w:tcPr>
        <w:p w:rsidR="004230B1" w:rsidRPr="00750ACB" w:rsidRDefault="004230B1" w:rsidP="00D01F1C">
          <w:pPr>
            <w:pStyle w:val="04FOOTER"/>
            <w:ind w:right="-101"/>
            <w:rPr>
              <w:sz w:val="14"/>
              <w:highlight w:val="yellow"/>
            </w:rPr>
          </w:pPr>
        </w:p>
      </w:tc>
      <w:tc>
        <w:tcPr>
          <w:tcW w:w="3360" w:type="dxa"/>
          <w:shd w:val="clear" w:color="auto" w:fill="auto"/>
          <w:vAlign w:val="bottom"/>
        </w:tcPr>
        <w:p w:rsidR="004230B1" w:rsidRPr="00750ACB" w:rsidRDefault="004230B1" w:rsidP="00D01F1C">
          <w:pPr>
            <w:pStyle w:val="04FOOTER"/>
            <w:ind w:right="-101"/>
            <w:rPr>
              <w:sz w:val="14"/>
              <w:highlight w:val="yellow"/>
            </w:rPr>
          </w:pPr>
        </w:p>
      </w:tc>
    </w:tr>
  </w:tbl>
  <w:p w:rsidR="004230B1" w:rsidRPr="00B32BE8" w:rsidRDefault="004230B1"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4230B1">
      <w:trPr>
        <w:trHeight w:val="5211"/>
      </w:trPr>
      <w:tc>
        <w:tcPr>
          <w:tcW w:w="606" w:type="dxa"/>
          <w:shd w:val="clear" w:color="auto" w:fill="auto"/>
          <w:vAlign w:val="bottom"/>
        </w:tcPr>
        <w:p w:rsidR="004230B1" w:rsidRDefault="004230B1" w:rsidP="00D01F1C">
          <w:pPr>
            <w:pStyle w:val="01TESTO"/>
          </w:pPr>
          <w:r>
            <w:rPr>
              <w:noProof/>
              <w:lang w:val="es-ES" w:eastAsia="es-ES" w:bidi="ar-SA"/>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anchor>
            </w:drawing>
          </w:r>
        </w:p>
      </w:tc>
    </w:tr>
  </w:tbl>
  <w:p w:rsidR="004230B1" w:rsidRDefault="004230B1" w:rsidP="00D01F1C">
    <w:r>
      <w:rPr>
        <w:noProof/>
        <w:lang w:val="es-ES" w:eastAsia="es-ES" w:bidi="ar-SA"/>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lang w:val="es-ES" w:eastAsia="es-ES" w:bidi="ar-SA"/>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AE406C">
      <w:rPr>
        <w:noProof/>
        <w:lang w:val="es-ES" w:eastAsia="es-ES" w:bidi="ar-SA"/>
      </w:rPr>
      <mc:AlternateContent>
        <mc:Choice Requires="wps">
          <w:drawing>
            <wp:anchor distT="4294967295" distB="4294967295" distL="114300" distR="114300" simplePos="0" relativeHeight="251654656" behindDoc="0" locked="0" layoutInCell="1" allowOverlap="1">
              <wp:simplePos x="0" y="0"/>
              <wp:positionH relativeFrom="column">
                <wp:posOffset>-1270</wp:posOffset>
              </wp:positionH>
              <wp:positionV relativeFrom="paragraph">
                <wp:posOffset>455294</wp:posOffset>
              </wp:positionV>
              <wp:extent cx="7086600" cy="0"/>
              <wp:effectExtent l="0" t="0" r="19050" b="1905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x1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e/aMdRIC&#10;AAApBAAADgAAAAAAAAAAAAAAAAAuAgAAZHJzL2Uyb0RvYy54bWxQSwECLQAUAAYACAAAACEAqsTL&#10;rtoAAAAIAQAADwAAAAAAAAAAAAAAAABsBAAAZHJzL2Rvd25yZXYueG1sUEsFBgAAAAAEAAQA8wAA&#10;AHMFAAAAAA==&#10;" strokeweight=".03739mm"/>
          </w:pict>
        </mc:Fallback>
      </mc:AlternateContent>
    </w:r>
    <w:r w:rsidR="00AE406C">
      <w:rPr>
        <w:noProof/>
        <w:lang w:val="es-ES" w:eastAsia="es-ES" w:bidi="ar-SA"/>
      </w:rPr>
      <mc:AlternateContent>
        <mc:Choice Requires="wps">
          <w:drawing>
            <wp:anchor distT="4294967295" distB="4294967295" distL="114300" distR="114300" simplePos="0" relativeHeight="251655680" behindDoc="0" locked="0" layoutInCell="1" allowOverlap="1">
              <wp:simplePos x="0" y="0"/>
              <wp:positionH relativeFrom="column">
                <wp:posOffset>-1945005</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6z4y&#10;EhECAAAo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2E55D4"/>
    <w:multiLevelType w:val="hybridMultilevel"/>
    <w:tmpl w:val="DA56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Gilkes">
    <w15:presenceInfo w15:providerId="Windows Live" w15:userId="7556f18d83459c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6"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05839"/>
    <w:rsid w:val="000120A1"/>
    <w:rsid w:val="0001433C"/>
    <w:rsid w:val="0001567C"/>
    <w:rsid w:val="00015E9A"/>
    <w:rsid w:val="00017072"/>
    <w:rsid w:val="00020BCA"/>
    <w:rsid w:val="00021EE3"/>
    <w:rsid w:val="000222F2"/>
    <w:rsid w:val="00024426"/>
    <w:rsid w:val="0003097B"/>
    <w:rsid w:val="0003270D"/>
    <w:rsid w:val="0003536F"/>
    <w:rsid w:val="00036197"/>
    <w:rsid w:val="0004651C"/>
    <w:rsid w:val="00047C96"/>
    <w:rsid w:val="00060289"/>
    <w:rsid w:val="00060E32"/>
    <w:rsid w:val="00065412"/>
    <w:rsid w:val="000674FB"/>
    <w:rsid w:val="00070004"/>
    <w:rsid w:val="0008171E"/>
    <w:rsid w:val="000849DF"/>
    <w:rsid w:val="00084B1F"/>
    <w:rsid w:val="00084D26"/>
    <w:rsid w:val="0009610F"/>
    <w:rsid w:val="000A421A"/>
    <w:rsid w:val="000A4F6A"/>
    <w:rsid w:val="000B02FD"/>
    <w:rsid w:val="000B6CF5"/>
    <w:rsid w:val="000B7D75"/>
    <w:rsid w:val="000D0012"/>
    <w:rsid w:val="000D7AB9"/>
    <w:rsid w:val="000E1A7E"/>
    <w:rsid w:val="000E71CF"/>
    <w:rsid w:val="000E7733"/>
    <w:rsid w:val="000F2B17"/>
    <w:rsid w:val="000F5EE1"/>
    <w:rsid w:val="000F7DA3"/>
    <w:rsid w:val="00104791"/>
    <w:rsid w:val="00104948"/>
    <w:rsid w:val="00105F55"/>
    <w:rsid w:val="00113BBD"/>
    <w:rsid w:val="00117552"/>
    <w:rsid w:val="00120A22"/>
    <w:rsid w:val="00121E80"/>
    <w:rsid w:val="00132913"/>
    <w:rsid w:val="00132964"/>
    <w:rsid w:val="0013796A"/>
    <w:rsid w:val="00156BEB"/>
    <w:rsid w:val="00157752"/>
    <w:rsid w:val="00160298"/>
    <w:rsid w:val="0016154B"/>
    <w:rsid w:val="001618D6"/>
    <w:rsid w:val="001642D7"/>
    <w:rsid w:val="00166BE9"/>
    <w:rsid w:val="00170B08"/>
    <w:rsid w:val="00171CD9"/>
    <w:rsid w:val="00173B3D"/>
    <w:rsid w:val="00174619"/>
    <w:rsid w:val="0017544B"/>
    <w:rsid w:val="001767F2"/>
    <w:rsid w:val="001841DA"/>
    <w:rsid w:val="001863D9"/>
    <w:rsid w:val="00191B6C"/>
    <w:rsid w:val="00194173"/>
    <w:rsid w:val="00194B71"/>
    <w:rsid w:val="001951A2"/>
    <w:rsid w:val="00195CCA"/>
    <w:rsid w:val="00196F60"/>
    <w:rsid w:val="00197382"/>
    <w:rsid w:val="00197D07"/>
    <w:rsid w:val="001A33D9"/>
    <w:rsid w:val="001A37A3"/>
    <w:rsid w:val="001B0988"/>
    <w:rsid w:val="001B5634"/>
    <w:rsid w:val="001C3014"/>
    <w:rsid w:val="001C7F3E"/>
    <w:rsid w:val="001D08A3"/>
    <w:rsid w:val="001D1C29"/>
    <w:rsid w:val="001D3518"/>
    <w:rsid w:val="001E3531"/>
    <w:rsid w:val="001F0F41"/>
    <w:rsid w:val="0020510B"/>
    <w:rsid w:val="00221028"/>
    <w:rsid w:val="00221D20"/>
    <w:rsid w:val="002248FC"/>
    <w:rsid w:val="00224C79"/>
    <w:rsid w:val="00225E0B"/>
    <w:rsid w:val="002272D1"/>
    <w:rsid w:val="00232141"/>
    <w:rsid w:val="00237128"/>
    <w:rsid w:val="0024223A"/>
    <w:rsid w:val="00246B52"/>
    <w:rsid w:val="0025333B"/>
    <w:rsid w:val="00263776"/>
    <w:rsid w:val="00265AC1"/>
    <w:rsid w:val="00271B83"/>
    <w:rsid w:val="00273BE8"/>
    <w:rsid w:val="00282A60"/>
    <w:rsid w:val="00283150"/>
    <w:rsid w:val="002866E6"/>
    <w:rsid w:val="00287362"/>
    <w:rsid w:val="00293CEA"/>
    <w:rsid w:val="00295F5B"/>
    <w:rsid w:val="00296740"/>
    <w:rsid w:val="002A0272"/>
    <w:rsid w:val="002A0A55"/>
    <w:rsid w:val="002A0D85"/>
    <w:rsid w:val="002A3054"/>
    <w:rsid w:val="002A6C54"/>
    <w:rsid w:val="002A6DB7"/>
    <w:rsid w:val="002B0D45"/>
    <w:rsid w:val="002B4B2A"/>
    <w:rsid w:val="002B5341"/>
    <w:rsid w:val="002C4C02"/>
    <w:rsid w:val="002E0413"/>
    <w:rsid w:val="002E42D8"/>
    <w:rsid w:val="002F6342"/>
    <w:rsid w:val="002F7342"/>
    <w:rsid w:val="002F74C3"/>
    <w:rsid w:val="00304652"/>
    <w:rsid w:val="003216EB"/>
    <w:rsid w:val="0032344E"/>
    <w:rsid w:val="00325CA3"/>
    <w:rsid w:val="003274B1"/>
    <w:rsid w:val="00330590"/>
    <w:rsid w:val="00336C6F"/>
    <w:rsid w:val="00355548"/>
    <w:rsid w:val="00355A9D"/>
    <w:rsid w:val="003577EC"/>
    <w:rsid w:val="00363FE5"/>
    <w:rsid w:val="0036572F"/>
    <w:rsid w:val="003761F5"/>
    <w:rsid w:val="00376E0D"/>
    <w:rsid w:val="003818E0"/>
    <w:rsid w:val="003835B0"/>
    <w:rsid w:val="003848BA"/>
    <w:rsid w:val="00384F8C"/>
    <w:rsid w:val="00386BD6"/>
    <w:rsid w:val="00386F45"/>
    <w:rsid w:val="003925AD"/>
    <w:rsid w:val="00394194"/>
    <w:rsid w:val="0039732E"/>
    <w:rsid w:val="003A1D55"/>
    <w:rsid w:val="003A25BD"/>
    <w:rsid w:val="003A7179"/>
    <w:rsid w:val="003B01A0"/>
    <w:rsid w:val="003B1753"/>
    <w:rsid w:val="003B6440"/>
    <w:rsid w:val="003B66D3"/>
    <w:rsid w:val="003B68E3"/>
    <w:rsid w:val="003C1713"/>
    <w:rsid w:val="003C1A58"/>
    <w:rsid w:val="003C2E46"/>
    <w:rsid w:val="003C4F6A"/>
    <w:rsid w:val="003D21A6"/>
    <w:rsid w:val="003D224E"/>
    <w:rsid w:val="003D2603"/>
    <w:rsid w:val="003D4B8A"/>
    <w:rsid w:val="003E30F0"/>
    <w:rsid w:val="003E6488"/>
    <w:rsid w:val="003E69C1"/>
    <w:rsid w:val="003F2938"/>
    <w:rsid w:val="003F2BAE"/>
    <w:rsid w:val="003F3969"/>
    <w:rsid w:val="004002EB"/>
    <w:rsid w:val="00410435"/>
    <w:rsid w:val="0041210E"/>
    <w:rsid w:val="004148BC"/>
    <w:rsid w:val="004149A9"/>
    <w:rsid w:val="00421B87"/>
    <w:rsid w:val="004230B1"/>
    <w:rsid w:val="0042385C"/>
    <w:rsid w:val="00426608"/>
    <w:rsid w:val="00432D77"/>
    <w:rsid w:val="0043406A"/>
    <w:rsid w:val="00435506"/>
    <w:rsid w:val="00435FD2"/>
    <w:rsid w:val="00453C3D"/>
    <w:rsid w:val="004543CA"/>
    <w:rsid w:val="00461F89"/>
    <w:rsid w:val="0046276A"/>
    <w:rsid w:val="004627BF"/>
    <w:rsid w:val="004632B1"/>
    <w:rsid w:val="00463600"/>
    <w:rsid w:val="00463B08"/>
    <w:rsid w:val="0046565A"/>
    <w:rsid w:val="00467BD4"/>
    <w:rsid w:val="00472098"/>
    <w:rsid w:val="00473E67"/>
    <w:rsid w:val="00474ED5"/>
    <w:rsid w:val="00477548"/>
    <w:rsid w:val="00482681"/>
    <w:rsid w:val="00483474"/>
    <w:rsid w:val="0048550D"/>
    <w:rsid w:val="00485B81"/>
    <w:rsid w:val="00485D5C"/>
    <w:rsid w:val="00491B25"/>
    <w:rsid w:val="004925F9"/>
    <w:rsid w:val="00493824"/>
    <w:rsid w:val="00495277"/>
    <w:rsid w:val="00496DE7"/>
    <w:rsid w:val="004A69F7"/>
    <w:rsid w:val="004B792F"/>
    <w:rsid w:val="004C1A8A"/>
    <w:rsid w:val="004C2ABA"/>
    <w:rsid w:val="004C7C83"/>
    <w:rsid w:val="004D0018"/>
    <w:rsid w:val="004D3025"/>
    <w:rsid w:val="004E27F6"/>
    <w:rsid w:val="004E39F7"/>
    <w:rsid w:val="004E4796"/>
    <w:rsid w:val="004E5104"/>
    <w:rsid w:val="004F363E"/>
    <w:rsid w:val="004F7034"/>
    <w:rsid w:val="004F791E"/>
    <w:rsid w:val="00500EE0"/>
    <w:rsid w:val="00503C5F"/>
    <w:rsid w:val="00510635"/>
    <w:rsid w:val="005173CB"/>
    <w:rsid w:val="0052035D"/>
    <w:rsid w:val="005212D9"/>
    <w:rsid w:val="005227B5"/>
    <w:rsid w:val="00523FB4"/>
    <w:rsid w:val="005240E6"/>
    <w:rsid w:val="005243A9"/>
    <w:rsid w:val="00526224"/>
    <w:rsid w:val="005263D8"/>
    <w:rsid w:val="00527696"/>
    <w:rsid w:val="0053481D"/>
    <w:rsid w:val="0054109C"/>
    <w:rsid w:val="00542899"/>
    <w:rsid w:val="005471DD"/>
    <w:rsid w:val="00551A21"/>
    <w:rsid w:val="00556669"/>
    <w:rsid w:val="005577CB"/>
    <w:rsid w:val="00567398"/>
    <w:rsid w:val="0057356A"/>
    <w:rsid w:val="00577BEF"/>
    <w:rsid w:val="00582D6E"/>
    <w:rsid w:val="00582DC8"/>
    <w:rsid w:val="00595532"/>
    <w:rsid w:val="0059734F"/>
    <w:rsid w:val="005A5028"/>
    <w:rsid w:val="005A6C8C"/>
    <w:rsid w:val="005A6EAB"/>
    <w:rsid w:val="005A73A9"/>
    <w:rsid w:val="005B0434"/>
    <w:rsid w:val="005B06CD"/>
    <w:rsid w:val="005B6B8A"/>
    <w:rsid w:val="005B77F1"/>
    <w:rsid w:val="005C1E9F"/>
    <w:rsid w:val="005C5C46"/>
    <w:rsid w:val="005D0DFE"/>
    <w:rsid w:val="005D1D11"/>
    <w:rsid w:val="005D2A71"/>
    <w:rsid w:val="005D6457"/>
    <w:rsid w:val="0060424F"/>
    <w:rsid w:val="00612508"/>
    <w:rsid w:val="00617B37"/>
    <w:rsid w:val="00623E11"/>
    <w:rsid w:val="00632A9D"/>
    <w:rsid w:val="00632FF8"/>
    <w:rsid w:val="00634A12"/>
    <w:rsid w:val="0063533E"/>
    <w:rsid w:val="00637C30"/>
    <w:rsid w:val="006406D5"/>
    <w:rsid w:val="0064142F"/>
    <w:rsid w:val="00646A11"/>
    <w:rsid w:val="00646A70"/>
    <w:rsid w:val="0065024B"/>
    <w:rsid w:val="00651F8A"/>
    <w:rsid w:val="00652C19"/>
    <w:rsid w:val="00656444"/>
    <w:rsid w:val="00662AF5"/>
    <w:rsid w:val="006650AB"/>
    <w:rsid w:val="006752B0"/>
    <w:rsid w:val="006818A1"/>
    <w:rsid w:val="00682611"/>
    <w:rsid w:val="006835F8"/>
    <w:rsid w:val="006844E7"/>
    <w:rsid w:val="006869DA"/>
    <w:rsid w:val="00687FC8"/>
    <w:rsid w:val="0069041B"/>
    <w:rsid w:val="0069054B"/>
    <w:rsid w:val="006963E9"/>
    <w:rsid w:val="00697577"/>
    <w:rsid w:val="006A27EA"/>
    <w:rsid w:val="006B6661"/>
    <w:rsid w:val="006B6D79"/>
    <w:rsid w:val="006C1B2A"/>
    <w:rsid w:val="006E4181"/>
    <w:rsid w:val="006E5758"/>
    <w:rsid w:val="006E650B"/>
    <w:rsid w:val="006E75BF"/>
    <w:rsid w:val="006F2594"/>
    <w:rsid w:val="00701208"/>
    <w:rsid w:val="00702A22"/>
    <w:rsid w:val="00703B7A"/>
    <w:rsid w:val="00704A21"/>
    <w:rsid w:val="00707BB8"/>
    <w:rsid w:val="007117E5"/>
    <w:rsid w:val="00711DE5"/>
    <w:rsid w:val="00715E4E"/>
    <w:rsid w:val="00720E55"/>
    <w:rsid w:val="00721E58"/>
    <w:rsid w:val="0072308B"/>
    <w:rsid w:val="00723D5B"/>
    <w:rsid w:val="00725DED"/>
    <w:rsid w:val="0072724F"/>
    <w:rsid w:val="00727666"/>
    <w:rsid w:val="00732D13"/>
    <w:rsid w:val="00736861"/>
    <w:rsid w:val="00752F5C"/>
    <w:rsid w:val="00756160"/>
    <w:rsid w:val="0075642A"/>
    <w:rsid w:val="00757B78"/>
    <w:rsid w:val="00761C00"/>
    <w:rsid w:val="0076781F"/>
    <w:rsid w:val="0077205D"/>
    <w:rsid w:val="007812B4"/>
    <w:rsid w:val="00784D02"/>
    <w:rsid w:val="00792C47"/>
    <w:rsid w:val="007A18B5"/>
    <w:rsid w:val="007B3B4C"/>
    <w:rsid w:val="007C2782"/>
    <w:rsid w:val="007C3390"/>
    <w:rsid w:val="007C3DBB"/>
    <w:rsid w:val="007C4170"/>
    <w:rsid w:val="007C62AF"/>
    <w:rsid w:val="007C7733"/>
    <w:rsid w:val="007D04F6"/>
    <w:rsid w:val="007D0F92"/>
    <w:rsid w:val="007D39AD"/>
    <w:rsid w:val="007D3F44"/>
    <w:rsid w:val="007E1AD8"/>
    <w:rsid w:val="007E6E58"/>
    <w:rsid w:val="007E6FAD"/>
    <w:rsid w:val="007F078C"/>
    <w:rsid w:val="007F2101"/>
    <w:rsid w:val="007F572A"/>
    <w:rsid w:val="008062BC"/>
    <w:rsid w:val="00817EB8"/>
    <w:rsid w:val="008222D0"/>
    <w:rsid w:val="008260F1"/>
    <w:rsid w:val="008327F4"/>
    <w:rsid w:val="00835F22"/>
    <w:rsid w:val="008412DC"/>
    <w:rsid w:val="008416ED"/>
    <w:rsid w:val="008418A7"/>
    <w:rsid w:val="008457A2"/>
    <w:rsid w:val="00847CCF"/>
    <w:rsid w:val="008510AB"/>
    <w:rsid w:val="00852ABE"/>
    <w:rsid w:val="008549A3"/>
    <w:rsid w:val="00857C2E"/>
    <w:rsid w:val="008632C3"/>
    <w:rsid w:val="00863785"/>
    <w:rsid w:val="0086570B"/>
    <w:rsid w:val="00870317"/>
    <w:rsid w:val="00875FC4"/>
    <w:rsid w:val="00876FEA"/>
    <w:rsid w:val="00880AFF"/>
    <w:rsid w:val="00883180"/>
    <w:rsid w:val="00885D98"/>
    <w:rsid w:val="00890809"/>
    <w:rsid w:val="00892696"/>
    <w:rsid w:val="0089670D"/>
    <w:rsid w:val="008A14E0"/>
    <w:rsid w:val="008A49B2"/>
    <w:rsid w:val="008A4B2F"/>
    <w:rsid w:val="008B1E9C"/>
    <w:rsid w:val="008B2224"/>
    <w:rsid w:val="008B33A6"/>
    <w:rsid w:val="008B4C8B"/>
    <w:rsid w:val="008B608C"/>
    <w:rsid w:val="008C383A"/>
    <w:rsid w:val="008C5AAC"/>
    <w:rsid w:val="008D2A7B"/>
    <w:rsid w:val="008D4A64"/>
    <w:rsid w:val="008D7781"/>
    <w:rsid w:val="008E3ADA"/>
    <w:rsid w:val="008E6D38"/>
    <w:rsid w:val="008F27B2"/>
    <w:rsid w:val="008F345B"/>
    <w:rsid w:val="008F459C"/>
    <w:rsid w:val="008F535F"/>
    <w:rsid w:val="008F5499"/>
    <w:rsid w:val="00901F74"/>
    <w:rsid w:val="0090486D"/>
    <w:rsid w:val="00911291"/>
    <w:rsid w:val="00911609"/>
    <w:rsid w:val="00922012"/>
    <w:rsid w:val="0092405C"/>
    <w:rsid w:val="009300D8"/>
    <w:rsid w:val="009354AA"/>
    <w:rsid w:val="0093575E"/>
    <w:rsid w:val="00936668"/>
    <w:rsid w:val="00941BBA"/>
    <w:rsid w:val="0094780E"/>
    <w:rsid w:val="009520F7"/>
    <w:rsid w:val="00953A99"/>
    <w:rsid w:val="0095766B"/>
    <w:rsid w:val="00975565"/>
    <w:rsid w:val="00977FE9"/>
    <w:rsid w:val="009813A6"/>
    <w:rsid w:val="009840E2"/>
    <w:rsid w:val="00985182"/>
    <w:rsid w:val="00986747"/>
    <w:rsid w:val="00986929"/>
    <w:rsid w:val="00987EE9"/>
    <w:rsid w:val="009972D5"/>
    <w:rsid w:val="0099762C"/>
    <w:rsid w:val="009A09AF"/>
    <w:rsid w:val="009A2480"/>
    <w:rsid w:val="009A393F"/>
    <w:rsid w:val="009B5790"/>
    <w:rsid w:val="009C0E16"/>
    <w:rsid w:val="009C4DE7"/>
    <w:rsid w:val="009C5112"/>
    <w:rsid w:val="009E2F65"/>
    <w:rsid w:val="009E56DA"/>
    <w:rsid w:val="009F0C32"/>
    <w:rsid w:val="009F4E16"/>
    <w:rsid w:val="009F6697"/>
    <w:rsid w:val="00A0356F"/>
    <w:rsid w:val="00A03D17"/>
    <w:rsid w:val="00A03FB5"/>
    <w:rsid w:val="00A06413"/>
    <w:rsid w:val="00A071F9"/>
    <w:rsid w:val="00A07A57"/>
    <w:rsid w:val="00A10523"/>
    <w:rsid w:val="00A11C95"/>
    <w:rsid w:val="00A124E3"/>
    <w:rsid w:val="00A20A0A"/>
    <w:rsid w:val="00A21A18"/>
    <w:rsid w:val="00A25B5E"/>
    <w:rsid w:val="00A30DE6"/>
    <w:rsid w:val="00A33AFD"/>
    <w:rsid w:val="00A35D4D"/>
    <w:rsid w:val="00A36F0E"/>
    <w:rsid w:val="00A40810"/>
    <w:rsid w:val="00A45586"/>
    <w:rsid w:val="00A46FCF"/>
    <w:rsid w:val="00A515EF"/>
    <w:rsid w:val="00A526AF"/>
    <w:rsid w:val="00A527D2"/>
    <w:rsid w:val="00A5783E"/>
    <w:rsid w:val="00A61444"/>
    <w:rsid w:val="00A6391F"/>
    <w:rsid w:val="00A65079"/>
    <w:rsid w:val="00A6684D"/>
    <w:rsid w:val="00A76496"/>
    <w:rsid w:val="00A806E1"/>
    <w:rsid w:val="00A86168"/>
    <w:rsid w:val="00A87DC2"/>
    <w:rsid w:val="00AA52E9"/>
    <w:rsid w:val="00AA71FC"/>
    <w:rsid w:val="00AA74C6"/>
    <w:rsid w:val="00AB4202"/>
    <w:rsid w:val="00AC593E"/>
    <w:rsid w:val="00AC59F7"/>
    <w:rsid w:val="00AD1660"/>
    <w:rsid w:val="00AD1B64"/>
    <w:rsid w:val="00AD4824"/>
    <w:rsid w:val="00AD58F5"/>
    <w:rsid w:val="00AD6A8E"/>
    <w:rsid w:val="00AD6CE6"/>
    <w:rsid w:val="00AE406C"/>
    <w:rsid w:val="00AF4801"/>
    <w:rsid w:val="00B01CBB"/>
    <w:rsid w:val="00B10886"/>
    <w:rsid w:val="00B1137C"/>
    <w:rsid w:val="00B11CAA"/>
    <w:rsid w:val="00B249D8"/>
    <w:rsid w:val="00B26E62"/>
    <w:rsid w:val="00B303C6"/>
    <w:rsid w:val="00B314DB"/>
    <w:rsid w:val="00B32720"/>
    <w:rsid w:val="00B32BE8"/>
    <w:rsid w:val="00B4017B"/>
    <w:rsid w:val="00B4173C"/>
    <w:rsid w:val="00B42661"/>
    <w:rsid w:val="00B4271F"/>
    <w:rsid w:val="00B44C3B"/>
    <w:rsid w:val="00B462D7"/>
    <w:rsid w:val="00B46B04"/>
    <w:rsid w:val="00B5169B"/>
    <w:rsid w:val="00B53DB2"/>
    <w:rsid w:val="00B55E40"/>
    <w:rsid w:val="00B6126C"/>
    <w:rsid w:val="00B6208D"/>
    <w:rsid w:val="00B622F0"/>
    <w:rsid w:val="00B76635"/>
    <w:rsid w:val="00B81EB6"/>
    <w:rsid w:val="00B8458F"/>
    <w:rsid w:val="00B85252"/>
    <w:rsid w:val="00B86EA9"/>
    <w:rsid w:val="00B90140"/>
    <w:rsid w:val="00B964BE"/>
    <w:rsid w:val="00B96711"/>
    <w:rsid w:val="00BA4EA6"/>
    <w:rsid w:val="00BA6862"/>
    <w:rsid w:val="00BC3615"/>
    <w:rsid w:val="00BD590F"/>
    <w:rsid w:val="00BD718A"/>
    <w:rsid w:val="00BE11D8"/>
    <w:rsid w:val="00BE2B83"/>
    <w:rsid w:val="00BF00F8"/>
    <w:rsid w:val="00BF40B2"/>
    <w:rsid w:val="00BF5403"/>
    <w:rsid w:val="00C00DD7"/>
    <w:rsid w:val="00C07699"/>
    <w:rsid w:val="00C15592"/>
    <w:rsid w:val="00C269C3"/>
    <w:rsid w:val="00C30F70"/>
    <w:rsid w:val="00C32402"/>
    <w:rsid w:val="00C41FA8"/>
    <w:rsid w:val="00C436BD"/>
    <w:rsid w:val="00C4419C"/>
    <w:rsid w:val="00C55837"/>
    <w:rsid w:val="00C5701D"/>
    <w:rsid w:val="00C63D71"/>
    <w:rsid w:val="00C70E26"/>
    <w:rsid w:val="00C7139F"/>
    <w:rsid w:val="00C71BAE"/>
    <w:rsid w:val="00C72D0A"/>
    <w:rsid w:val="00C77355"/>
    <w:rsid w:val="00C85ECD"/>
    <w:rsid w:val="00C91D8A"/>
    <w:rsid w:val="00C9238C"/>
    <w:rsid w:val="00CA5F8E"/>
    <w:rsid w:val="00CA6D8C"/>
    <w:rsid w:val="00CA735C"/>
    <w:rsid w:val="00CA7C0B"/>
    <w:rsid w:val="00CB4423"/>
    <w:rsid w:val="00CB54F7"/>
    <w:rsid w:val="00CC10B5"/>
    <w:rsid w:val="00CC29B6"/>
    <w:rsid w:val="00CC336A"/>
    <w:rsid w:val="00CD0140"/>
    <w:rsid w:val="00CD4B4A"/>
    <w:rsid w:val="00CE29FA"/>
    <w:rsid w:val="00CE43D4"/>
    <w:rsid w:val="00CF072C"/>
    <w:rsid w:val="00CF0C4D"/>
    <w:rsid w:val="00CF4046"/>
    <w:rsid w:val="00CF46E3"/>
    <w:rsid w:val="00CF5319"/>
    <w:rsid w:val="00D017EF"/>
    <w:rsid w:val="00D01F1C"/>
    <w:rsid w:val="00D067C0"/>
    <w:rsid w:val="00D1162B"/>
    <w:rsid w:val="00D12FE5"/>
    <w:rsid w:val="00D1342F"/>
    <w:rsid w:val="00D13813"/>
    <w:rsid w:val="00D15A2A"/>
    <w:rsid w:val="00D249FC"/>
    <w:rsid w:val="00D276A6"/>
    <w:rsid w:val="00D3457C"/>
    <w:rsid w:val="00D446D2"/>
    <w:rsid w:val="00D45362"/>
    <w:rsid w:val="00D47AE4"/>
    <w:rsid w:val="00D5394C"/>
    <w:rsid w:val="00D544A5"/>
    <w:rsid w:val="00D612C4"/>
    <w:rsid w:val="00D63E9D"/>
    <w:rsid w:val="00D63F55"/>
    <w:rsid w:val="00D64A4B"/>
    <w:rsid w:val="00D7011E"/>
    <w:rsid w:val="00D718C9"/>
    <w:rsid w:val="00D722E2"/>
    <w:rsid w:val="00D73CFA"/>
    <w:rsid w:val="00D748F6"/>
    <w:rsid w:val="00D7746D"/>
    <w:rsid w:val="00D82FE1"/>
    <w:rsid w:val="00D86B46"/>
    <w:rsid w:val="00D9584B"/>
    <w:rsid w:val="00DA3AB9"/>
    <w:rsid w:val="00DB4DA6"/>
    <w:rsid w:val="00DB6E02"/>
    <w:rsid w:val="00DC1F91"/>
    <w:rsid w:val="00DC4A12"/>
    <w:rsid w:val="00DD1372"/>
    <w:rsid w:val="00DD352A"/>
    <w:rsid w:val="00DD61FF"/>
    <w:rsid w:val="00DD745C"/>
    <w:rsid w:val="00DD7C58"/>
    <w:rsid w:val="00DE3541"/>
    <w:rsid w:val="00DF2F26"/>
    <w:rsid w:val="00DF6A14"/>
    <w:rsid w:val="00E02ECC"/>
    <w:rsid w:val="00E054C7"/>
    <w:rsid w:val="00E11F0A"/>
    <w:rsid w:val="00E14831"/>
    <w:rsid w:val="00E153C8"/>
    <w:rsid w:val="00E23075"/>
    <w:rsid w:val="00E26958"/>
    <w:rsid w:val="00E26DB9"/>
    <w:rsid w:val="00E35473"/>
    <w:rsid w:val="00E37299"/>
    <w:rsid w:val="00E403B2"/>
    <w:rsid w:val="00E46D85"/>
    <w:rsid w:val="00E47C63"/>
    <w:rsid w:val="00E51B36"/>
    <w:rsid w:val="00E51B7A"/>
    <w:rsid w:val="00E54BE4"/>
    <w:rsid w:val="00E552F4"/>
    <w:rsid w:val="00E563B1"/>
    <w:rsid w:val="00E56ED4"/>
    <w:rsid w:val="00E603F5"/>
    <w:rsid w:val="00E61DCC"/>
    <w:rsid w:val="00E61F1C"/>
    <w:rsid w:val="00E621AF"/>
    <w:rsid w:val="00E63AD4"/>
    <w:rsid w:val="00E72EEC"/>
    <w:rsid w:val="00E84A88"/>
    <w:rsid w:val="00E902C9"/>
    <w:rsid w:val="00E937D0"/>
    <w:rsid w:val="00E95503"/>
    <w:rsid w:val="00E9717C"/>
    <w:rsid w:val="00EA2763"/>
    <w:rsid w:val="00EA7E68"/>
    <w:rsid w:val="00EC4604"/>
    <w:rsid w:val="00EC6C56"/>
    <w:rsid w:val="00EE5B0D"/>
    <w:rsid w:val="00EE7D68"/>
    <w:rsid w:val="00EF3E92"/>
    <w:rsid w:val="00F02028"/>
    <w:rsid w:val="00F04CEF"/>
    <w:rsid w:val="00F06977"/>
    <w:rsid w:val="00F15042"/>
    <w:rsid w:val="00F1595E"/>
    <w:rsid w:val="00F213CD"/>
    <w:rsid w:val="00F3099C"/>
    <w:rsid w:val="00F3383B"/>
    <w:rsid w:val="00F34902"/>
    <w:rsid w:val="00F4331E"/>
    <w:rsid w:val="00F433E0"/>
    <w:rsid w:val="00F43A90"/>
    <w:rsid w:val="00F56D48"/>
    <w:rsid w:val="00F62113"/>
    <w:rsid w:val="00F624CE"/>
    <w:rsid w:val="00F62F6F"/>
    <w:rsid w:val="00F6470F"/>
    <w:rsid w:val="00F648B8"/>
    <w:rsid w:val="00F70009"/>
    <w:rsid w:val="00F7068B"/>
    <w:rsid w:val="00F71AD9"/>
    <w:rsid w:val="00F76120"/>
    <w:rsid w:val="00F764A1"/>
    <w:rsid w:val="00F77DB9"/>
    <w:rsid w:val="00F8183D"/>
    <w:rsid w:val="00F81DB9"/>
    <w:rsid w:val="00F84460"/>
    <w:rsid w:val="00F85257"/>
    <w:rsid w:val="00FC278C"/>
    <w:rsid w:val="00FC43B0"/>
    <w:rsid w:val="00FC7335"/>
    <w:rsid w:val="00FD4FD0"/>
    <w:rsid w:val="00FE248E"/>
    <w:rsid w:val="00FF50A9"/>
    <w:rsid w:val="00FF5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6"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rPr>
  </w:style>
  <w:style w:type="character" w:styleId="Refdecomentario">
    <w:name w:val="annotation reference"/>
    <w:uiPriority w:val="99"/>
    <w:rsid w:val="006549C2"/>
    <w:rPr>
      <w:sz w:val="16"/>
      <w:szCs w:val="16"/>
    </w:rPr>
  </w:style>
  <w:style w:type="paragraph" w:styleId="Textocomentario">
    <w:name w:val="annotation text"/>
    <w:basedOn w:val="Normal"/>
    <w:link w:val="CommentaireCar"/>
    <w:uiPriority w:val="99"/>
    <w:rsid w:val="006549C2"/>
    <w:rPr>
      <w:sz w:val="20"/>
    </w:rPr>
  </w:style>
  <w:style w:type="character" w:customStyle="1" w:styleId="CommentaireCar">
    <w:name w:val="Commentaire Car"/>
    <w:link w:val="Textocomentario"/>
    <w:uiPriority w:val="99"/>
    <w:rsid w:val="006549C2"/>
    <w:rPr>
      <w:rFonts w:ascii="Arial" w:hAnsi="Arial"/>
      <w:color w:val="000000"/>
      <w:lang w:val="fr-FR" w:eastAsia="fr-FR"/>
    </w:rPr>
  </w:style>
  <w:style w:type="paragraph" w:styleId="Asuntodelcomentario">
    <w:name w:val="annotation subject"/>
    <w:basedOn w:val="Textocomentario"/>
    <w:next w:val="Textocomentario"/>
    <w:link w:val="ObjetducommentaireCar"/>
    <w:rsid w:val="006549C2"/>
    <w:rPr>
      <w:b/>
      <w:bCs/>
    </w:rPr>
  </w:style>
  <w:style w:type="character" w:customStyle="1" w:styleId="ObjetducommentaireCar">
    <w:name w:val="Objet du commentaire Car"/>
    <w:link w:val="Asuntodelcomentario"/>
    <w:rsid w:val="006549C2"/>
    <w:rPr>
      <w:rFonts w:ascii="Arial" w:hAnsi="Arial"/>
      <w:b/>
      <w:bCs/>
      <w:color w:val="000000"/>
      <w:lang w:val="fr-FR" w:eastAsia="fr-FR"/>
    </w:rPr>
  </w:style>
  <w:style w:type="paragraph" w:styleId="Textodeglobo">
    <w:name w:val="Balloon Text"/>
    <w:basedOn w:val="Normal"/>
    <w:link w:val="TextedebullesCar"/>
    <w:rsid w:val="006549C2"/>
    <w:pPr>
      <w:spacing w:line="240" w:lineRule="auto"/>
    </w:pPr>
    <w:rPr>
      <w:rFonts w:ascii="Tahoma" w:hAnsi="Tahoma"/>
      <w:sz w:val="16"/>
      <w:szCs w:val="16"/>
    </w:rPr>
  </w:style>
  <w:style w:type="character" w:customStyle="1" w:styleId="TextedebullesCar">
    <w:name w:val="Texte de bulles Car"/>
    <w:link w:val="Textodeglobo"/>
    <w:rsid w:val="006549C2"/>
    <w:rPr>
      <w:rFonts w:ascii="Tahoma" w:hAnsi="Tahoma" w:cs="Tahoma"/>
      <w:color w:val="000000"/>
      <w:sz w:val="16"/>
      <w:szCs w:val="16"/>
      <w:lang w:val="fr-FR" w:eastAsia="fr-FR"/>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rPr>
  </w:style>
  <w:style w:type="character" w:styleId="Refdecomentario">
    <w:name w:val="annotation reference"/>
    <w:uiPriority w:val="99"/>
    <w:rsid w:val="006549C2"/>
    <w:rPr>
      <w:sz w:val="16"/>
      <w:szCs w:val="16"/>
    </w:rPr>
  </w:style>
  <w:style w:type="paragraph" w:styleId="Textocomentario">
    <w:name w:val="annotation text"/>
    <w:basedOn w:val="Normal"/>
    <w:link w:val="CommentaireCar"/>
    <w:uiPriority w:val="99"/>
    <w:rsid w:val="006549C2"/>
    <w:rPr>
      <w:sz w:val="20"/>
    </w:rPr>
  </w:style>
  <w:style w:type="character" w:customStyle="1" w:styleId="CommentaireCar">
    <w:name w:val="Commentaire Car"/>
    <w:link w:val="Textocomentario"/>
    <w:uiPriority w:val="99"/>
    <w:rsid w:val="006549C2"/>
    <w:rPr>
      <w:rFonts w:ascii="Arial" w:hAnsi="Arial"/>
      <w:color w:val="000000"/>
      <w:lang w:val="fr-FR" w:eastAsia="fr-FR"/>
    </w:rPr>
  </w:style>
  <w:style w:type="paragraph" w:styleId="Asuntodelcomentario">
    <w:name w:val="annotation subject"/>
    <w:basedOn w:val="Textocomentario"/>
    <w:next w:val="Textocomentario"/>
    <w:link w:val="ObjetducommentaireCar"/>
    <w:rsid w:val="006549C2"/>
    <w:rPr>
      <w:b/>
      <w:bCs/>
    </w:rPr>
  </w:style>
  <w:style w:type="character" w:customStyle="1" w:styleId="ObjetducommentaireCar">
    <w:name w:val="Objet du commentaire Car"/>
    <w:link w:val="Asuntodelcomentario"/>
    <w:rsid w:val="006549C2"/>
    <w:rPr>
      <w:rFonts w:ascii="Arial" w:hAnsi="Arial"/>
      <w:b/>
      <w:bCs/>
      <w:color w:val="000000"/>
      <w:lang w:val="fr-FR" w:eastAsia="fr-FR"/>
    </w:rPr>
  </w:style>
  <w:style w:type="paragraph" w:styleId="Textodeglobo">
    <w:name w:val="Balloon Text"/>
    <w:basedOn w:val="Normal"/>
    <w:link w:val="TextedebullesCar"/>
    <w:rsid w:val="006549C2"/>
    <w:pPr>
      <w:spacing w:line="240" w:lineRule="auto"/>
    </w:pPr>
    <w:rPr>
      <w:rFonts w:ascii="Tahoma" w:hAnsi="Tahoma"/>
      <w:sz w:val="16"/>
      <w:szCs w:val="16"/>
    </w:rPr>
  </w:style>
  <w:style w:type="character" w:customStyle="1" w:styleId="TextedebullesCar">
    <w:name w:val="Texte de bulles Car"/>
    <w:link w:val="Textodeglobo"/>
    <w:rsid w:val="006549C2"/>
    <w:rPr>
      <w:rFonts w:ascii="Tahoma" w:hAnsi="Tahoma" w:cs="Tahoma"/>
      <w:color w:val="000000"/>
      <w:sz w:val="16"/>
      <w:szCs w:val="16"/>
      <w:lang w:val="fr-FR" w:eastAsia="fr-FR"/>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19092802">
      <w:bodyDiv w:val="1"/>
      <w:marLeft w:val="0"/>
      <w:marRight w:val="0"/>
      <w:marTop w:val="0"/>
      <w:marBottom w:val="0"/>
      <w:divBdr>
        <w:top w:val="none" w:sz="0" w:space="0" w:color="auto"/>
        <w:left w:val="none" w:sz="0" w:space="0" w:color="auto"/>
        <w:bottom w:val="none" w:sz="0" w:space="0" w:color="auto"/>
        <w:right w:val="none" w:sz="0" w:space="0" w:color="auto"/>
      </w:divBdr>
    </w:div>
    <w:div w:id="79454110">
      <w:bodyDiv w:val="1"/>
      <w:marLeft w:val="0"/>
      <w:marRight w:val="0"/>
      <w:marTop w:val="0"/>
      <w:marBottom w:val="0"/>
      <w:divBdr>
        <w:top w:val="none" w:sz="0" w:space="0" w:color="auto"/>
        <w:left w:val="none" w:sz="0" w:space="0" w:color="auto"/>
        <w:bottom w:val="none" w:sz="0" w:space="0" w:color="auto"/>
        <w:right w:val="none" w:sz="0" w:space="0" w:color="auto"/>
      </w:divBdr>
    </w:div>
    <w:div w:id="253250964">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545068763">
      <w:bodyDiv w:val="1"/>
      <w:marLeft w:val="0"/>
      <w:marRight w:val="0"/>
      <w:marTop w:val="0"/>
      <w:marBottom w:val="0"/>
      <w:divBdr>
        <w:top w:val="none" w:sz="0" w:space="0" w:color="auto"/>
        <w:left w:val="none" w:sz="0" w:space="0" w:color="auto"/>
        <w:bottom w:val="none" w:sz="0" w:space="0" w:color="auto"/>
        <w:right w:val="none" w:sz="0" w:space="0" w:color="auto"/>
      </w:divBdr>
    </w:div>
    <w:div w:id="724987524">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475641293">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00493326">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casece" TargetMode="External"/><Relationship Id="rId18" Type="http://schemas.openxmlformats.org/officeDocument/2006/relationships/image" Target="cid:image003.gif@01D123A8.097F9890"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cid:image004.gif@01D123A8.097F9890" TargetMode="External"/><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user/Caseatwork"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caseconstructionequipment.ukandroi" TargetMode="External"/><Relationship Id="rId24" Type="http://schemas.openxmlformats.org/officeDocument/2006/relationships/hyperlink" Target="mailto:oraymond@alarconyharris.com" TargetMode="External"/><Relationship Id="rId5" Type="http://schemas.microsoft.com/office/2007/relationships/stylesWithEffects" Target="stylesWithEffects.xml"/><Relationship Id="rId15" Type="http://schemas.openxmlformats.org/officeDocument/2006/relationships/image" Target="cid:image002.gif@01D123A8.097F9890" TargetMode="External"/><Relationship Id="rId23" Type="http://schemas.openxmlformats.org/officeDocument/2006/relationships/hyperlink" Target="http://www.cnhindustrial.com/" TargetMode="External"/><Relationship Id="rId28" Type="http://schemas.openxmlformats.org/officeDocument/2006/relationships/footer" Target="footer2.xml"/><Relationship Id="rId36" Type="http://schemas.microsoft.com/office/2011/relationships/commentsExtended" Target="commentsExtended.xml"/><Relationship Id="rId10" Type="http://schemas.openxmlformats.org/officeDocument/2006/relationships/hyperlink" Target="http://www.casecetools.com/press-kit" TargetMode="External"/><Relationship Id="rId19" Type="http://schemas.openxmlformats.org/officeDocument/2006/relationships/hyperlink" Target="https://www.linkedin.com/company/case-construction-equipmen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www.casece.com/"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03DB-129C-44FD-B556-E7362504DD4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0365001-3027-46DE-951A-ABDA5A7C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0</TotalTime>
  <Pages>5</Pages>
  <Words>1505</Words>
  <Characters>8278</Characters>
  <Application>Microsoft Office Word</Application>
  <DocSecurity>0</DocSecurity>
  <Lines>68</Lines>
  <Paragraphs>19</Paragraphs>
  <ScaleCrop>false</ScaleCrop>
  <HeadingPairs>
    <vt:vector size="10" baseType="variant">
      <vt:variant>
        <vt:lpstr>Título</vt:lpstr>
      </vt:variant>
      <vt:variant>
        <vt:i4>1</vt:i4>
      </vt:variant>
      <vt:variant>
        <vt:lpstr>Titre</vt:lpstr>
      </vt:variant>
      <vt:variant>
        <vt:i4>1</vt:i4>
      </vt:variant>
      <vt:variant>
        <vt:lpstr>Titolo</vt:lpstr>
      </vt:variant>
      <vt:variant>
        <vt:i4>1</vt:i4>
      </vt:variant>
      <vt:variant>
        <vt:lpstr>Titel</vt:lpstr>
      </vt:variant>
      <vt:variant>
        <vt:i4>1</vt:i4>
      </vt:variant>
      <vt:variant>
        <vt:lpstr>Title</vt:lpstr>
      </vt:variant>
      <vt:variant>
        <vt:i4>1</vt:i4>
      </vt:variant>
    </vt:vector>
  </HeadingPairs>
  <TitlesOfParts>
    <vt:vector size="5" baseType="lpstr">
      <vt:lpstr>CNH INDUSTRIAL</vt:lpstr>
      <vt:lpstr>CNH INDUSTRIAL</vt:lpstr>
      <vt:lpstr>CNH INDUSTRIAL</vt:lpstr>
      <vt:lpstr>CNH INDUSTRIAL</vt:lpstr>
      <vt:lpstr>CNH INDUSTRIAL</vt:lpstr>
    </vt:vector>
  </TitlesOfParts>
  <Company>CNH Industrial</Company>
  <LinksUpToDate>false</LinksUpToDate>
  <CharactersWithSpaces>9764</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2</cp:revision>
  <cp:lastPrinted>2017-03-01T10:39:00Z</cp:lastPrinted>
  <dcterms:created xsi:type="dcterms:W3CDTF">2017-03-15T10:56:00Z</dcterms:created>
  <dcterms:modified xsi:type="dcterms:W3CDTF">2017-03-15T10:56:00Z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7125b19a-5def-41ae-b10b-581734896cfb</vt:lpwstr>
  </property>
  <property fmtid="{D5CDD505-2E9C-101B-9397-08002B2CF9AE}" pid="3" name="bjSaver">
    <vt:lpwstr>nLyR4HS08U+6cYA5FRcj+CcI+JUHzUNm</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to6ty,07/03/2017 13:22:34,GENERAL BUSINESS</vt:lpwstr>
  </property>
  <property fmtid="{D5CDD505-2E9C-101B-9397-08002B2CF9AE}" pid="8" name="CNH-Classification">
    <vt:lpwstr>[GENERAL BUSINESS]</vt:lpwstr>
  </property>
</Properties>
</file>