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F1C" w:rsidRDefault="00BA3F2C" w:rsidP="00513C85">
      <w:pPr>
        <w:rPr>
          <w:lang w:val="es-ES"/>
        </w:rPr>
      </w:pPr>
      <w:r>
        <w:rPr>
          <w:rFonts w:cs="Arial"/>
          <w:b/>
          <w:sz w:val="22"/>
          <w:szCs w:val="22"/>
          <w:lang w:val="es-ES"/>
        </w:rPr>
        <w:t>Ruvicsa vende</w:t>
      </w:r>
      <w:r w:rsidR="00244788">
        <w:rPr>
          <w:rFonts w:cs="Arial"/>
          <w:b/>
          <w:sz w:val="22"/>
          <w:szCs w:val="22"/>
          <w:lang w:val="es-ES"/>
        </w:rPr>
        <w:t xml:space="preserve"> la primera excavadora CASE CX210D para uso forestal </w:t>
      </w:r>
    </w:p>
    <w:p w:rsidR="00FD493E" w:rsidRDefault="00FD493E" w:rsidP="00513C85">
      <w:pPr>
        <w:jc w:val="both"/>
        <w:rPr>
          <w:lang w:val="es-ES"/>
        </w:rPr>
      </w:pPr>
    </w:p>
    <w:p w:rsidR="00513C85" w:rsidRDefault="00513C85" w:rsidP="00513C85">
      <w:pPr>
        <w:pStyle w:val="01TESTO"/>
        <w:jc w:val="both"/>
        <w:rPr>
          <w:lang w:val="es-ES"/>
        </w:rPr>
      </w:pPr>
    </w:p>
    <w:p w:rsidR="00705A49" w:rsidRDefault="008E14A9" w:rsidP="00513C85">
      <w:pPr>
        <w:pStyle w:val="01TESTO"/>
        <w:jc w:val="both"/>
        <w:rPr>
          <w:lang w:val="es-ES"/>
        </w:rPr>
      </w:pPr>
      <w:r>
        <w:rPr>
          <w:lang w:val="es-ES"/>
        </w:rPr>
        <w:t>Madrid</w:t>
      </w:r>
      <w:r w:rsidR="00705A49">
        <w:rPr>
          <w:lang w:val="es-ES"/>
        </w:rPr>
        <w:t xml:space="preserve">, </w:t>
      </w:r>
      <w:r w:rsidR="00513C85">
        <w:rPr>
          <w:lang w:val="es-ES"/>
        </w:rPr>
        <w:t>2</w:t>
      </w:r>
      <w:r w:rsidR="00AA5837">
        <w:rPr>
          <w:lang w:val="es-ES"/>
        </w:rPr>
        <w:t>0</w:t>
      </w:r>
      <w:bookmarkStart w:id="0" w:name="_GoBack"/>
      <w:bookmarkEnd w:id="0"/>
      <w:r w:rsidR="00244788">
        <w:rPr>
          <w:lang w:val="es-ES"/>
        </w:rPr>
        <w:t xml:space="preserve"> </w:t>
      </w:r>
      <w:r>
        <w:rPr>
          <w:lang w:val="es-ES"/>
        </w:rPr>
        <w:t xml:space="preserve">de </w:t>
      </w:r>
      <w:r w:rsidR="00AA5837">
        <w:rPr>
          <w:lang w:val="es-ES"/>
        </w:rPr>
        <w:t xml:space="preserve">Febrero </w:t>
      </w:r>
      <w:r w:rsidR="00513C85">
        <w:rPr>
          <w:lang w:val="es-ES"/>
        </w:rPr>
        <w:t>de 2017</w:t>
      </w:r>
    </w:p>
    <w:p w:rsidR="00D5520D" w:rsidRDefault="00793CC5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La </w:t>
      </w:r>
      <w:r w:rsidR="00011ABA">
        <w:rPr>
          <w:rFonts w:cs="Arial"/>
          <w:szCs w:val="19"/>
          <w:lang w:val="es-ES"/>
        </w:rPr>
        <w:t>CASE CX210D</w:t>
      </w:r>
      <w:r>
        <w:rPr>
          <w:rFonts w:cs="Arial"/>
          <w:szCs w:val="19"/>
          <w:lang w:val="es-ES"/>
        </w:rPr>
        <w:t>, que ha sido transformada por Industrias Guerra y adquirida por Maderas Luis Méndez,</w:t>
      </w:r>
      <w:r w:rsidR="0078662A">
        <w:rPr>
          <w:rFonts w:cs="Arial"/>
          <w:szCs w:val="19"/>
          <w:lang w:val="es-ES"/>
        </w:rPr>
        <w:t xml:space="preserve"> S.L.</w:t>
      </w:r>
      <w:r w:rsidR="00011ABA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trabajará procesando madera de eucalipto entre </w:t>
      </w:r>
      <w:r w:rsidR="00976956">
        <w:rPr>
          <w:rFonts w:cs="Arial"/>
          <w:szCs w:val="19"/>
          <w:lang w:val="es-ES"/>
        </w:rPr>
        <w:t>Asturias</w:t>
      </w:r>
      <w:r>
        <w:rPr>
          <w:rFonts w:cs="Arial"/>
          <w:szCs w:val="19"/>
          <w:lang w:val="es-ES"/>
        </w:rPr>
        <w:t xml:space="preserve"> y Galicia</w:t>
      </w:r>
      <w:r w:rsidR="0078662A">
        <w:rPr>
          <w:rFonts w:cs="Arial"/>
          <w:szCs w:val="19"/>
          <w:lang w:val="es-ES"/>
        </w:rPr>
        <w:t xml:space="preserve"> </w:t>
      </w:r>
      <w:r w:rsidR="0062038E">
        <w:rPr>
          <w:rFonts w:cs="Arial"/>
          <w:szCs w:val="19"/>
          <w:lang w:val="es-ES"/>
        </w:rPr>
        <w:t>y realizará</w:t>
      </w:r>
      <w:r w:rsidR="0078662A">
        <w:rPr>
          <w:rFonts w:cs="Arial"/>
          <w:szCs w:val="19"/>
          <w:lang w:val="es-ES"/>
        </w:rPr>
        <w:t xml:space="preserve"> tareas de limpieza y ensanchamiento de pistas forestales cuando se requiera.</w:t>
      </w:r>
    </w:p>
    <w:p w:rsidR="001F4510" w:rsidRDefault="00011ABA" w:rsidP="00513C85">
      <w:pPr>
        <w:jc w:val="both"/>
        <w:rPr>
          <w:rFonts w:cs="Arial"/>
          <w:szCs w:val="19"/>
          <w:lang w:val="es-ES"/>
        </w:rPr>
      </w:pPr>
      <w:r w:rsidRPr="00011ABA">
        <w:rPr>
          <w:rFonts w:cs="Arial"/>
          <w:szCs w:val="19"/>
          <w:lang w:val="es-ES"/>
        </w:rPr>
        <w:t>Ruvicsa, distribuidor de CASE para Asturias y Cantabria, ha vendido la primera excavadora de cadenas CASE CX210 de la serie D adaptada para su uso en aplicación forestal en España</w:t>
      </w:r>
      <w:r>
        <w:rPr>
          <w:rFonts w:cs="Arial"/>
          <w:szCs w:val="19"/>
          <w:lang w:val="es-ES"/>
        </w:rPr>
        <w:t xml:space="preserve"> a </w:t>
      </w:r>
      <w:r w:rsidR="00217020">
        <w:rPr>
          <w:rFonts w:cs="Arial"/>
          <w:szCs w:val="19"/>
          <w:lang w:val="es-ES"/>
        </w:rPr>
        <w:t>Maderas Luis Méndez, S.L.</w:t>
      </w:r>
      <w:r w:rsidR="0078662A" w:rsidRPr="0078662A">
        <w:rPr>
          <w:rFonts w:cs="Arial"/>
          <w:szCs w:val="19"/>
          <w:lang w:val="es-ES"/>
        </w:rPr>
        <w:t xml:space="preserve"> Servicios </w:t>
      </w:r>
      <w:r w:rsidRPr="0078662A">
        <w:rPr>
          <w:rFonts w:cs="Arial"/>
          <w:szCs w:val="19"/>
          <w:lang w:val="es-ES"/>
        </w:rPr>
        <w:t>Forestales</w:t>
      </w:r>
      <w:r>
        <w:rPr>
          <w:rFonts w:cs="Arial"/>
          <w:szCs w:val="19"/>
          <w:lang w:val="es-ES"/>
        </w:rPr>
        <w:t>. C</w:t>
      </w:r>
      <w:r w:rsidR="0078662A">
        <w:rPr>
          <w:rFonts w:cs="Arial"/>
          <w:szCs w:val="19"/>
          <w:lang w:val="es-ES"/>
        </w:rPr>
        <w:t xml:space="preserve">on sede </w:t>
      </w:r>
      <w:r w:rsidR="001F4510">
        <w:rPr>
          <w:rFonts w:cs="Arial"/>
          <w:szCs w:val="19"/>
          <w:lang w:val="es-ES"/>
        </w:rPr>
        <w:t>en Vegadeo</w:t>
      </w:r>
      <w:r w:rsidR="0078662A" w:rsidRPr="0078662A">
        <w:rPr>
          <w:rFonts w:cs="Arial"/>
          <w:szCs w:val="19"/>
          <w:lang w:val="es-ES"/>
        </w:rPr>
        <w:t xml:space="preserve"> (Asturias)</w:t>
      </w:r>
      <w:r w:rsidR="00217020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la empresa </w:t>
      </w:r>
      <w:r w:rsidR="0078662A">
        <w:rPr>
          <w:rFonts w:cs="Arial"/>
          <w:szCs w:val="19"/>
          <w:lang w:val="es-ES"/>
        </w:rPr>
        <w:t xml:space="preserve">tiene </w:t>
      </w:r>
      <w:r w:rsidR="00113621">
        <w:rPr>
          <w:rFonts w:cs="Arial"/>
          <w:szCs w:val="19"/>
          <w:lang w:val="es-ES"/>
        </w:rPr>
        <w:t xml:space="preserve">relación con </w:t>
      </w:r>
      <w:proofErr w:type="spellStart"/>
      <w:r w:rsidR="00113621">
        <w:rPr>
          <w:rFonts w:cs="Arial"/>
          <w:szCs w:val="19"/>
          <w:lang w:val="es-ES"/>
        </w:rPr>
        <w:t>Ruvicsa</w:t>
      </w:r>
      <w:proofErr w:type="spellEnd"/>
      <w:r w:rsidR="00113621">
        <w:rPr>
          <w:rFonts w:cs="Arial"/>
          <w:szCs w:val="19"/>
          <w:lang w:val="es-ES"/>
        </w:rPr>
        <w:t xml:space="preserve"> desde 2005. Su </w:t>
      </w:r>
      <w:r w:rsidR="00532772">
        <w:rPr>
          <w:rFonts w:cs="Arial"/>
          <w:szCs w:val="19"/>
          <w:lang w:val="es-ES"/>
        </w:rPr>
        <w:t>principal</w:t>
      </w:r>
      <w:r w:rsidR="0078662A">
        <w:rPr>
          <w:rFonts w:cs="Arial"/>
          <w:szCs w:val="19"/>
          <w:lang w:val="es-ES"/>
        </w:rPr>
        <w:t xml:space="preserve"> actividad</w:t>
      </w:r>
      <w:r w:rsidR="00113621">
        <w:rPr>
          <w:rFonts w:cs="Arial"/>
          <w:szCs w:val="19"/>
          <w:lang w:val="es-ES"/>
        </w:rPr>
        <w:t xml:space="preserve"> es</w:t>
      </w:r>
      <w:r w:rsidR="0078662A">
        <w:rPr>
          <w:rFonts w:cs="Arial"/>
          <w:szCs w:val="19"/>
          <w:lang w:val="es-ES"/>
        </w:rPr>
        <w:t xml:space="preserve"> </w:t>
      </w:r>
      <w:r w:rsidR="0078662A" w:rsidRPr="0078662A">
        <w:rPr>
          <w:rFonts w:cs="Arial"/>
          <w:szCs w:val="19"/>
          <w:lang w:val="es-ES"/>
        </w:rPr>
        <w:t>la corta de explotaciones forestales (60.000 Tn. al año) para la fabricación de celulosa</w:t>
      </w:r>
      <w:r w:rsidR="00113621">
        <w:rPr>
          <w:rFonts w:cs="Arial"/>
          <w:szCs w:val="19"/>
          <w:lang w:val="es-ES"/>
        </w:rPr>
        <w:t>. A</w:t>
      </w:r>
      <w:r w:rsidR="0062038E">
        <w:rPr>
          <w:rFonts w:cs="Arial"/>
          <w:szCs w:val="19"/>
          <w:lang w:val="es-ES"/>
        </w:rPr>
        <w:t>ctualmente</w:t>
      </w:r>
      <w:r w:rsidR="00113621">
        <w:rPr>
          <w:rFonts w:cs="Arial"/>
          <w:szCs w:val="19"/>
          <w:lang w:val="es-ES"/>
        </w:rPr>
        <w:t xml:space="preserve"> la empresa</w:t>
      </w:r>
      <w:r w:rsidR="0062038E">
        <w:rPr>
          <w:rFonts w:cs="Arial"/>
          <w:szCs w:val="19"/>
          <w:lang w:val="es-ES"/>
        </w:rPr>
        <w:t xml:space="preserve"> se encuentra en </w:t>
      </w:r>
      <w:r w:rsidR="009512BB">
        <w:rPr>
          <w:rFonts w:cs="Arial"/>
          <w:szCs w:val="19"/>
          <w:lang w:val="es-ES"/>
        </w:rPr>
        <w:t>plena</w:t>
      </w:r>
      <w:r w:rsidR="0062038E">
        <w:rPr>
          <w:rFonts w:cs="Arial"/>
          <w:szCs w:val="19"/>
          <w:lang w:val="es-ES"/>
        </w:rPr>
        <w:t xml:space="preserve"> expansión </w:t>
      </w:r>
      <w:r w:rsidR="00345C07">
        <w:rPr>
          <w:rFonts w:cs="Arial"/>
          <w:szCs w:val="19"/>
          <w:lang w:val="es-ES"/>
        </w:rPr>
        <w:t>internacional, enfocándose en</w:t>
      </w:r>
      <w:r w:rsidR="0062038E">
        <w:rPr>
          <w:rFonts w:cs="Arial"/>
          <w:szCs w:val="19"/>
          <w:lang w:val="es-ES"/>
        </w:rPr>
        <w:t xml:space="preserve"> las </w:t>
      </w:r>
      <w:r w:rsidR="0062038E" w:rsidRPr="0062038E">
        <w:rPr>
          <w:rFonts w:cs="Arial"/>
          <w:szCs w:val="19"/>
          <w:lang w:val="es-ES"/>
        </w:rPr>
        <w:t>exportaciones de madera y astilla</w:t>
      </w:r>
      <w:r w:rsidR="0062038E">
        <w:rPr>
          <w:rFonts w:cs="Arial"/>
          <w:szCs w:val="19"/>
          <w:lang w:val="es-ES"/>
        </w:rPr>
        <w:t>.</w:t>
      </w:r>
      <w:r w:rsidR="0062038E" w:rsidRPr="0062038E">
        <w:rPr>
          <w:rFonts w:cs="Arial"/>
          <w:szCs w:val="19"/>
          <w:lang w:val="es-ES"/>
        </w:rPr>
        <w:t xml:space="preserve"> </w:t>
      </w:r>
    </w:p>
    <w:p w:rsidR="00976956" w:rsidRDefault="001F4510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Jose Luis Ruiz </w:t>
      </w:r>
      <w:r w:rsidR="00532772">
        <w:rPr>
          <w:rFonts w:cs="Arial"/>
          <w:szCs w:val="19"/>
          <w:lang w:val="es-ES"/>
        </w:rPr>
        <w:t>Fernández, Consejero</w:t>
      </w:r>
      <w:r>
        <w:rPr>
          <w:rFonts w:cs="Arial"/>
          <w:szCs w:val="19"/>
          <w:lang w:val="es-ES"/>
        </w:rPr>
        <w:t xml:space="preserve"> Delegado de </w:t>
      </w:r>
      <w:proofErr w:type="spellStart"/>
      <w:r>
        <w:rPr>
          <w:rFonts w:cs="Arial"/>
          <w:szCs w:val="19"/>
          <w:lang w:val="es-ES"/>
        </w:rPr>
        <w:t>Ruvicsa</w:t>
      </w:r>
      <w:proofErr w:type="spellEnd"/>
      <w:r>
        <w:rPr>
          <w:rFonts w:cs="Arial"/>
          <w:szCs w:val="19"/>
          <w:lang w:val="es-ES"/>
        </w:rPr>
        <w:t xml:space="preserve">, </w:t>
      </w:r>
      <w:r w:rsidR="0062038E">
        <w:rPr>
          <w:rFonts w:cs="Arial"/>
          <w:szCs w:val="19"/>
          <w:lang w:val="es-ES"/>
        </w:rPr>
        <w:t>explica</w:t>
      </w:r>
      <w:r w:rsidR="0078662A">
        <w:rPr>
          <w:rFonts w:cs="Arial"/>
          <w:szCs w:val="19"/>
          <w:lang w:val="es-ES"/>
        </w:rPr>
        <w:t xml:space="preserve"> </w:t>
      </w:r>
      <w:r w:rsidR="00113621">
        <w:rPr>
          <w:rFonts w:cs="Arial"/>
          <w:szCs w:val="19"/>
          <w:lang w:val="es-ES"/>
        </w:rPr>
        <w:t xml:space="preserve">las necesidades de </w:t>
      </w:r>
      <w:r w:rsidR="0078662A">
        <w:rPr>
          <w:rFonts w:cs="Arial"/>
          <w:szCs w:val="19"/>
          <w:lang w:val="es-ES"/>
        </w:rPr>
        <w:t xml:space="preserve">su cliente </w:t>
      </w:r>
      <w:r w:rsidR="00532772">
        <w:rPr>
          <w:rFonts w:cs="Arial"/>
          <w:szCs w:val="19"/>
          <w:lang w:val="es-ES"/>
        </w:rPr>
        <w:t xml:space="preserve">y por qué la </w:t>
      </w:r>
      <w:r w:rsidR="00532772" w:rsidRPr="001F4510">
        <w:rPr>
          <w:rFonts w:cs="Arial"/>
          <w:szCs w:val="19"/>
          <w:lang w:val="es-ES"/>
        </w:rPr>
        <w:t>CASE CX210D</w:t>
      </w:r>
      <w:r w:rsidR="00113621">
        <w:rPr>
          <w:rFonts w:cs="Arial"/>
          <w:szCs w:val="19"/>
          <w:lang w:val="es-ES"/>
        </w:rPr>
        <w:t xml:space="preserve"> ha sido la elección idónea</w:t>
      </w:r>
      <w:r w:rsidR="0078662A">
        <w:rPr>
          <w:rFonts w:cs="Arial"/>
          <w:szCs w:val="19"/>
          <w:lang w:val="es-ES"/>
        </w:rPr>
        <w:t xml:space="preserve">: </w:t>
      </w:r>
      <w:r>
        <w:rPr>
          <w:rFonts w:cs="Arial"/>
          <w:szCs w:val="19"/>
          <w:lang w:val="es-ES"/>
        </w:rPr>
        <w:t>“</w:t>
      </w:r>
      <w:r w:rsidR="00113621">
        <w:rPr>
          <w:rFonts w:cs="Arial"/>
          <w:szCs w:val="19"/>
          <w:lang w:val="es-ES"/>
        </w:rPr>
        <w:t>L</w:t>
      </w:r>
      <w:r w:rsidR="0078662A">
        <w:rPr>
          <w:rFonts w:cs="Arial"/>
          <w:szCs w:val="19"/>
          <w:lang w:val="es-ES"/>
        </w:rPr>
        <w:t>a industria forestal busca ante todo una</w:t>
      </w:r>
      <w:r w:rsidRPr="001F4510">
        <w:rPr>
          <w:rFonts w:cs="Arial"/>
          <w:szCs w:val="19"/>
          <w:lang w:val="es-ES"/>
        </w:rPr>
        <w:t xml:space="preserve"> máquina fiable que pueda garantizar un excelente rendimiento con bajos consumos</w:t>
      </w:r>
      <w:r w:rsidR="00532772">
        <w:rPr>
          <w:rFonts w:cs="Arial"/>
          <w:szCs w:val="19"/>
          <w:lang w:val="es-ES"/>
        </w:rPr>
        <w:t>.</w:t>
      </w:r>
      <w:r w:rsidR="00532772" w:rsidRPr="00113621">
        <w:rPr>
          <w:lang w:val="es-ES"/>
        </w:rPr>
        <w:t xml:space="preserve"> </w:t>
      </w:r>
      <w:r w:rsidR="00113621">
        <w:rPr>
          <w:lang w:val="es-ES"/>
        </w:rPr>
        <w:t>E</w:t>
      </w:r>
      <w:r w:rsidR="00532772" w:rsidRPr="00532772">
        <w:rPr>
          <w:rFonts w:cs="Arial"/>
          <w:szCs w:val="19"/>
          <w:lang w:val="es-ES"/>
        </w:rPr>
        <w:t xml:space="preserve">sta excavadora </w:t>
      </w:r>
      <w:r w:rsidR="00113621">
        <w:rPr>
          <w:rFonts w:cs="Arial"/>
          <w:szCs w:val="19"/>
          <w:lang w:val="es-ES"/>
        </w:rPr>
        <w:t>destaca por su</w:t>
      </w:r>
      <w:r w:rsidR="00532772" w:rsidRPr="00532772">
        <w:rPr>
          <w:rFonts w:cs="Arial"/>
          <w:szCs w:val="19"/>
          <w:lang w:val="es-ES"/>
        </w:rPr>
        <w:t xml:space="preserve"> elevada autonomía del sistema de </w:t>
      </w:r>
      <w:proofErr w:type="spellStart"/>
      <w:r w:rsidR="00532772" w:rsidRPr="00532772">
        <w:rPr>
          <w:rFonts w:cs="Arial"/>
          <w:szCs w:val="19"/>
          <w:lang w:val="es-ES"/>
        </w:rPr>
        <w:t>AdBlue</w:t>
      </w:r>
      <w:proofErr w:type="spellEnd"/>
      <w:r w:rsidR="00532772" w:rsidRPr="00532772">
        <w:rPr>
          <w:rFonts w:cs="Arial"/>
          <w:szCs w:val="19"/>
          <w:lang w:val="es-ES"/>
        </w:rPr>
        <w:t xml:space="preserve"> (sólo necesita ser cargado cada 5 paradas para abastecimiento)”</w:t>
      </w:r>
      <w:r w:rsidR="00793CC5" w:rsidRPr="001F4510">
        <w:rPr>
          <w:rFonts w:cs="Arial"/>
          <w:szCs w:val="19"/>
          <w:lang w:val="es-ES"/>
        </w:rPr>
        <w:t>.</w:t>
      </w:r>
    </w:p>
    <w:p w:rsidR="0062038E" w:rsidRDefault="0062038E" w:rsidP="00513C85">
      <w:pPr>
        <w:spacing w:before="100" w:beforeAutospacing="1" w:after="100" w:afterAutospacing="1" w:line="360" w:lineRule="auto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“</w:t>
      </w:r>
      <w:r w:rsidR="00532772" w:rsidRPr="0062038E">
        <w:rPr>
          <w:rFonts w:cs="Arial"/>
          <w:szCs w:val="19"/>
          <w:lang w:val="es-ES"/>
        </w:rPr>
        <w:t xml:space="preserve">Además, </w:t>
      </w:r>
      <w:r w:rsidR="00976956" w:rsidRPr="0062038E">
        <w:rPr>
          <w:rFonts w:cs="Arial"/>
          <w:szCs w:val="19"/>
          <w:lang w:val="es-ES"/>
        </w:rPr>
        <w:t>tiene otras dos características importantes para aplicaciones forestales que ayudaron al cliente a decidir la compra</w:t>
      </w:r>
      <w:r w:rsidR="00113621">
        <w:rPr>
          <w:rFonts w:cs="Arial"/>
          <w:szCs w:val="19"/>
          <w:lang w:val="es-ES"/>
        </w:rPr>
        <w:t>. Por un lado la CX210D cuenta con</w:t>
      </w:r>
      <w:r w:rsidR="00532772" w:rsidRPr="0062038E">
        <w:rPr>
          <w:rFonts w:cs="Arial"/>
          <w:szCs w:val="19"/>
          <w:lang w:val="es-ES"/>
        </w:rPr>
        <w:t xml:space="preserve"> d</w:t>
      </w:r>
      <w:r w:rsidR="00976956" w:rsidRPr="0062038E">
        <w:rPr>
          <w:rFonts w:cs="Arial"/>
          <w:szCs w:val="19"/>
          <w:lang w:val="es-ES"/>
        </w:rPr>
        <w:t>os filtros de gasoil (uno de 2 y otro de 7 micras) con decantador de combustible y sensor de aviso en cabina si hay agua</w:t>
      </w:r>
      <w:r w:rsidR="00113621">
        <w:rPr>
          <w:rFonts w:cs="Arial"/>
          <w:szCs w:val="19"/>
          <w:lang w:val="es-ES"/>
        </w:rPr>
        <w:t>; esto resulta</w:t>
      </w:r>
      <w:r w:rsidR="00976956" w:rsidRPr="0062038E">
        <w:rPr>
          <w:rFonts w:cs="Arial"/>
          <w:szCs w:val="19"/>
          <w:lang w:val="es-ES"/>
        </w:rPr>
        <w:t xml:space="preserve"> imprescindible por los problemas de inyección que suele haber en </w:t>
      </w:r>
      <w:r w:rsidR="00113621" w:rsidRPr="0062038E">
        <w:rPr>
          <w:rFonts w:cs="Arial"/>
          <w:szCs w:val="19"/>
          <w:lang w:val="es-ES"/>
        </w:rPr>
        <w:t xml:space="preserve">este tipo </w:t>
      </w:r>
      <w:r w:rsidR="00976956" w:rsidRPr="0062038E">
        <w:rPr>
          <w:rFonts w:cs="Arial"/>
          <w:szCs w:val="19"/>
          <w:lang w:val="es-ES"/>
        </w:rPr>
        <w:t>aplicacion</w:t>
      </w:r>
      <w:r w:rsidRPr="0062038E">
        <w:rPr>
          <w:rFonts w:cs="Arial"/>
          <w:szCs w:val="19"/>
          <w:lang w:val="es-ES"/>
        </w:rPr>
        <w:t xml:space="preserve">es debido al agua. </w:t>
      </w:r>
      <w:r w:rsidR="00113621">
        <w:rPr>
          <w:rFonts w:cs="Arial"/>
          <w:szCs w:val="19"/>
          <w:lang w:val="es-ES"/>
        </w:rPr>
        <w:t xml:space="preserve">Por otro lado </w:t>
      </w:r>
      <w:r w:rsidR="00976956" w:rsidRPr="0062038E">
        <w:rPr>
          <w:rFonts w:cs="Arial"/>
          <w:szCs w:val="19"/>
          <w:lang w:val="es-ES"/>
        </w:rPr>
        <w:t>la disposición de los radiadores, yuxtapuestos, facilita su limpieza</w:t>
      </w:r>
      <w:r>
        <w:rPr>
          <w:rFonts w:cs="Arial"/>
          <w:szCs w:val="19"/>
          <w:lang w:val="es-ES"/>
        </w:rPr>
        <w:t>” afirma</w:t>
      </w:r>
      <w:r w:rsidR="00AE2A60">
        <w:rPr>
          <w:rFonts w:cs="Arial"/>
          <w:szCs w:val="19"/>
          <w:lang w:val="es-ES"/>
        </w:rPr>
        <w:t xml:space="preserve"> </w:t>
      </w:r>
      <w:r w:rsidR="00345C07">
        <w:rPr>
          <w:rFonts w:cs="Arial"/>
          <w:szCs w:val="19"/>
          <w:lang w:val="es-ES"/>
        </w:rPr>
        <w:t>Jose</w:t>
      </w:r>
      <w:r w:rsidR="00AE2A60">
        <w:rPr>
          <w:rFonts w:cs="Arial"/>
          <w:szCs w:val="19"/>
          <w:lang w:val="es-ES"/>
        </w:rPr>
        <w:t xml:space="preserve"> Luis</w:t>
      </w:r>
      <w:r>
        <w:rPr>
          <w:rFonts w:cs="Arial"/>
          <w:szCs w:val="19"/>
          <w:lang w:val="es-ES"/>
        </w:rPr>
        <w:t xml:space="preserve"> Ruiz Fernández.</w:t>
      </w:r>
    </w:p>
    <w:p w:rsidR="00976956" w:rsidRDefault="0062038E" w:rsidP="00513C85">
      <w:pPr>
        <w:spacing w:before="100" w:beforeAutospacing="1" w:after="100" w:afterAutospacing="1" w:line="360" w:lineRule="auto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Para él las ventajas de la </w:t>
      </w:r>
      <w:r w:rsidRPr="001F4510">
        <w:rPr>
          <w:rFonts w:cs="Arial"/>
          <w:szCs w:val="19"/>
          <w:lang w:val="es-ES"/>
        </w:rPr>
        <w:t>CASE CX210D</w:t>
      </w:r>
      <w:r>
        <w:rPr>
          <w:rFonts w:cs="Arial"/>
          <w:szCs w:val="19"/>
          <w:lang w:val="es-ES"/>
        </w:rPr>
        <w:t xml:space="preserve"> sobre otras excavadoras de su capacidad y peso son muy claras: “</w:t>
      </w:r>
      <w:r w:rsidR="00113621">
        <w:rPr>
          <w:rFonts w:cs="Arial"/>
          <w:szCs w:val="19"/>
          <w:lang w:val="es-ES"/>
        </w:rPr>
        <w:t xml:space="preserve">La fiabilidad y </w:t>
      </w:r>
      <w:r w:rsidR="00976956" w:rsidRPr="0062038E">
        <w:rPr>
          <w:rFonts w:cs="Arial"/>
          <w:szCs w:val="19"/>
          <w:lang w:val="es-ES"/>
        </w:rPr>
        <w:t>la calidad de</w:t>
      </w:r>
      <w:r w:rsidR="00113621">
        <w:rPr>
          <w:rFonts w:cs="Arial"/>
          <w:szCs w:val="19"/>
          <w:lang w:val="es-ES"/>
        </w:rPr>
        <w:t xml:space="preserve">l producto </w:t>
      </w:r>
      <w:r w:rsidR="00976956" w:rsidRPr="0062038E">
        <w:rPr>
          <w:rFonts w:cs="Arial"/>
          <w:szCs w:val="19"/>
          <w:lang w:val="es-ES"/>
        </w:rPr>
        <w:t>es</w:t>
      </w:r>
      <w:r w:rsidR="00C3020B">
        <w:rPr>
          <w:rFonts w:cs="Arial"/>
          <w:szCs w:val="19"/>
          <w:lang w:val="es-ES"/>
        </w:rPr>
        <w:t>tá</w:t>
      </w:r>
      <w:r w:rsidR="00113621">
        <w:rPr>
          <w:rFonts w:cs="Arial"/>
          <w:szCs w:val="19"/>
          <w:lang w:val="es-ES"/>
        </w:rPr>
        <w:t>n</w:t>
      </w:r>
      <w:r w:rsidR="00C3020B">
        <w:rPr>
          <w:rFonts w:cs="Arial"/>
          <w:szCs w:val="19"/>
          <w:lang w:val="es-ES"/>
        </w:rPr>
        <w:t xml:space="preserve"> garantizad</w:t>
      </w:r>
      <w:r w:rsidR="00113621">
        <w:rPr>
          <w:rFonts w:cs="Arial"/>
          <w:szCs w:val="19"/>
          <w:lang w:val="es-ES"/>
        </w:rPr>
        <w:t>os</w:t>
      </w:r>
      <w:r w:rsidR="00C3020B">
        <w:rPr>
          <w:rFonts w:cs="Arial"/>
          <w:szCs w:val="19"/>
          <w:lang w:val="es-ES"/>
        </w:rPr>
        <w:t xml:space="preserve"> y</w:t>
      </w:r>
      <w:r>
        <w:rPr>
          <w:rFonts w:cs="Arial"/>
          <w:szCs w:val="19"/>
          <w:lang w:val="es-ES"/>
        </w:rPr>
        <w:t xml:space="preserve"> </w:t>
      </w:r>
      <w:r w:rsidR="00113621">
        <w:rPr>
          <w:rFonts w:cs="Arial"/>
          <w:szCs w:val="19"/>
          <w:lang w:val="es-ES"/>
        </w:rPr>
        <w:t xml:space="preserve">su </w:t>
      </w:r>
      <w:r w:rsidR="00976956" w:rsidRPr="0062038E">
        <w:rPr>
          <w:rFonts w:cs="Arial"/>
          <w:szCs w:val="19"/>
          <w:lang w:val="es-ES"/>
        </w:rPr>
        <w:t>mantenimiento es más económico al no utilizar el sistema de filtro de partículas (DPF). El consumo de combustible va a ser menor que quienes utilizan DPF y AdBlue, además se evitan los sobrecalentamientos que se pueden producir por las altas temperaturas del sistema DPF</w:t>
      </w:r>
      <w:r w:rsidR="00AE2A60">
        <w:rPr>
          <w:rFonts w:cs="Arial"/>
          <w:szCs w:val="19"/>
          <w:lang w:val="es-ES"/>
        </w:rPr>
        <w:t>” explica</w:t>
      </w:r>
      <w:r w:rsidR="00976956" w:rsidRPr="0062038E">
        <w:rPr>
          <w:rFonts w:cs="Arial"/>
          <w:szCs w:val="19"/>
          <w:lang w:val="es-ES"/>
        </w:rPr>
        <w:t>.</w:t>
      </w:r>
    </w:p>
    <w:p w:rsidR="00345C07" w:rsidRPr="0062038E" w:rsidRDefault="00345C07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 w:rsidRPr="007C0429">
        <w:rPr>
          <w:rFonts w:cs="Arial"/>
          <w:szCs w:val="19"/>
          <w:lang w:val="es-ES"/>
        </w:rPr>
        <w:t>Hay que señalar también ot</w:t>
      </w:r>
      <w:r>
        <w:rPr>
          <w:rFonts w:cs="Arial"/>
          <w:szCs w:val="19"/>
          <w:lang w:val="es-ES"/>
        </w:rPr>
        <w:t xml:space="preserve">ras destacadas características de la </w:t>
      </w:r>
      <w:r w:rsidRPr="007C0429">
        <w:rPr>
          <w:rFonts w:cs="Arial"/>
          <w:szCs w:val="19"/>
          <w:lang w:val="es-ES"/>
        </w:rPr>
        <w:t xml:space="preserve">serie CX de excavadoras de cadenas de CASE </w:t>
      </w:r>
      <w:r>
        <w:rPr>
          <w:rFonts w:cs="Arial"/>
          <w:szCs w:val="19"/>
          <w:lang w:val="es-ES"/>
        </w:rPr>
        <w:t>como</w:t>
      </w:r>
      <w:r w:rsidRPr="007C0429">
        <w:rPr>
          <w:rFonts w:cs="Arial"/>
          <w:szCs w:val="19"/>
          <w:lang w:val="es-ES"/>
        </w:rPr>
        <w:t xml:space="preserve"> llevar 5 controles de ahorro de energía: el control de par, el control de </w:t>
      </w:r>
      <w:r w:rsidRPr="007C0429">
        <w:rPr>
          <w:rFonts w:cs="Arial"/>
          <w:szCs w:val="19"/>
          <w:lang w:val="es-ES"/>
        </w:rPr>
        <w:lastRenderedPageBreak/>
        <w:t>ahorro de la pluma (BEC), control de descarga del giro (SWC), control de desplazamiento del carrete (SSC) y funciones de ralentí automático y de parada de motor.</w:t>
      </w:r>
    </w:p>
    <w:p w:rsidR="00976956" w:rsidRPr="0062038E" w:rsidRDefault="00AE2A60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Otras importantes </w:t>
      </w:r>
      <w:r w:rsidR="00345C07">
        <w:rPr>
          <w:rFonts w:cs="Arial"/>
          <w:szCs w:val="19"/>
          <w:lang w:val="es-ES"/>
        </w:rPr>
        <w:t xml:space="preserve">ventajas de la </w:t>
      </w:r>
      <w:r w:rsidR="00345C07" w:rsidRPr="001F4510">
        <w:rPr>
          <w:rFonts w:cs="Arial"/>
          <w:szCs w:val="19"/>
          <w:lang w:val="es-ES"/>
        </w:rPr>
        <w:t>CASE CX210D</w:t>
      </w:r>
      <w:r w:rsidR="00345C07">
        <w:rPr>
          <w:rFonts w:cs="Arial"/>
          <w:szCs w:val="19"/>
          <w:lang w:val="es-ES"/>
        </w:rPr>
        <w:t xml:space="preserve"> </w:t>
      </w:r>
      <w:r>
        <w:rPr>
          <w:rFonts w:cs="Arial"/>
          <w:szCs w:val="19"/>
          <w:lang w:val="es-ES"/>
        </w:rPr>
        <w:t>que apunta Ruiz Fernández son: “Esta excavadora</w:t>
      </w:r>
      <w:r w:rsidR="00976956" w:rsidRPr="0062038E">
        <w:rPr>
          <w:rFonts w:cs="Arial"/>
          <w:szCs w:val="19"/>
          <w:lang w:val="es-ES"/>
        </w:rPr>
        <w:t xml:space="preserve"> ofrece una amplia visibilidad, cosa que no ocurre con nuestros competidores, la mayor parte de ellos sólo pueden garantizar la visibilidad trasera con una cámara</w:t>
      </w:r>
      <w:r>
        <w:rPr>
          <w:rFonts w:cs="Arial"/>
          <w:szCs w:val="19"/>
          <w:lang w:val="es-ES"/>
        </w:rPr>
        <w:t>,</w:t>
      </w:r>
      <w:r w:rsidR="00976956" w:rsidRPr="0062038E">
        <w:rPr>
          <w:rFonts w:cs="Arial"/>
          <w:szCs w:val="19"/>
          <w:lang w:val="es-ES"/>
        </w:rPr>
        <w:t xml:space="preserve"> puesto que por el crista</w:t>
      </w:r>
      <w:r>
        <w:rPr>
          <w:rFonts w:cs="Arial"/>
          <w:szCs w:val="19"/>
          <w:lang w:val="es-ES"/>
        </w:rPr>
        <w:t xml:space="preserve">l trasero no se puede ver nada. </w:t>
      </w:r>
      <w:r w:rsidR="00976956" w:rsidRPr="0062038E">
        <w:rPr>
          <w:rFonts w:cs="Arial"/>
          <w:szCs w:val="19"/>
          <w:lang w:val="es-ES"/>
        </w:rPr>
        <w:t xml:space="preserve">La cabina es espaciosa y una de las más grandes del mercado. La protección FOPS </w:t>
      </w:r>
      <w:r>
        <w:rPr>
          <w:rFonts w:cs="Arial"/>
          <w:szCs w:val="19"/>
          <w:lang w:val="es-ES"/>
        </w:rPr>
        <w:t>de nivel II</w:t>
      </w:r>
      <w:r w:rsidR="00976956" w:rsidRPr="0062038E">
        <w:rPr>
          <w:rFonts w:cs="Arial"/>
          <w:szCs w:val="19"/>
          <w:lang w:val="es-ES"/>
        </w:rPr>
        <w:t xml:space="preserve"> viene de serie</w:t>
      </w:r>
      <w:r>
        <w:rPr>
          <w:rFonts w:cs="Arial"/>
          <w:szCs w:val="19"/>
          <w:lang w:val="es-ES"/>
        </w:rPr>
        <w:t>…</w:t>
      </w:r>
      <w:r w:rsidR="00976956" w:rsidRPr="0062038E">
        <w:rPr>
          <w:rFonts w:cs="Arial"/>
          <w:szCs w:val="19"/>
          <w:lang w:val="es-ES"/>
        </w:rPr>
        <w:t>.</w:t>
      </w:r>
      <w:r>
        <w:rPr>
          <w:rFonts w:cs="Arial"/>
          <w:szCs w:val="19"/>
          <w:lang w:val="es-ES"/>
        </w:rPr>
        <w:t xml:space="preserve"> </w:t>
      </w:r>
      <w:r w:rsidR="00976956" w:rsidRPr="0062038E">
        <w:rPr>
          <w:rFonts w:cs="Arial"/>
          <w:szCs w:val="19"/>
          <w:lang w:val="es-ES"/>
        </w:rPr>
        <w:t xml:space="preserve">Sin duda, </w:t>
      </w:r>
      <w:r>
        <w:rPr>
          <w:rFonts w:cs="Arial"/>
          <w:szCs w:val="19"/>
          <w:lang w:val="es-ES"/>
        </w:rPr>
        <w:t xml:space="preserve">su relación calidad </w:t>
      </w:r>
      <w:r w:rsidR="00976956" w:rsidRPr="0062038E">
        <w:rPr>
          <w:rFonts w:cs="Arial"/>
          <w:szCs w:val="19"/>
          <w:lang w:val="es-ES"/>
        </w:rPr>
        <w:t xml:space="preserve">precio </w:t>
      </w:r>
      <w:r>
        <w:rPr>
          <w:rFonts w:cs="Arial"/>
          <w:szCs w:val="19"/>
          <w:lang w:val="es-ES"/>
        </w:rPr>
        <w:t xml:space="preserve">la convierte en </w:t>
      </w:r>
      <w:r w:rsidR="00976956" w:rsidRPr="0062038E">
        <w:rPr>
          <w:rFonts w:cs="Arial"/>
          <w:szCs w:val="19"/>
          <w:lang w:val="es-ES"/>
        </w:rPr>
        <w:t xml:space="preserve">la máquina </w:t>
      </w:r>
      <w:r>
        <w:rPr>
          <w:rFonts w:cs="Arial"/>
          <w:szCs w:val="19"/>
          <w:lang w:val="es-ES"/>
        </w:rPr>
        <w:t>más competitiva del mercado en e</w:t>
      </w:r>
      <w:r w:rsidR="00976956" w:rsidRPr="0062038E">
        <w:rPr>
          <w:rFonts w:cs="Arial"/>
          <w:szCs w:val="19"/>
          <w:lang w:val="es-ES"/>
        </w:rPr>
        <w:t>ste momento</w:t>
      </w:r>
      <w:r>
        <w:rPr>
          <w:rFonts w:cs="Arial"/>
          <w:szCs w:val="19"/>
          <w:lang w:val="es-ES"/>
        </w:rPr>
        <w:t>” asegura.</w:t>
      </w:r>
    </w:p>
    <w:p w:rsidR="0062038E" w:rsidRDefault="006E3DF8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El</w:t>
      </w:r>
      <w:r w:rsidR="0062038E">
        <w:rPr>
          <w:rFonts w:cs="Arial"/>
          <w:szCs w:val="19"/>
          <w:lang w:val="es-ES"/>
        </w:rPr>
        <w:t xml:space="preserve"> encargado de Maderas Luis Méndez, </w:t>
      </w:r>
      <w:r w:rsidR="0062038E" w:rsidRPr="001F4510">
        <w:rPr>
          <w:rFonts w:cs="Arial"/>
          <w:szCs w:val="19"/>
          <w:lang w:val="es-ES"/>
        </w:rPr>
        <w:t>Alej</w:t>
      </w:r>
      <w:r w:rsidR="0062038E">
        <w:rPr>
          <w:rFonts w:cs="Arial"/>
          <w:szCs w:val="19"/>
          <w:lang w:val="es-ES"/>
        </w:rPr>
        <w:t xml:space="preserve">andro Méndez Cotarelo, </w:t>
      </w:r>
      <w:r>
        <w:rPr>
          <w:rFonts w:cs="Arial"/>
          <w:szCs w:val="19"/>
          <w:lang w:val="es-ES"/>
        </w:rPr>
        <w:t>coincide en ello</w:t>
      </w:r>
      <w:r w:rsidR="00AE2A60">
        <w:rPr>
          <w:rFonts w:cs="Arial"/>
          <w:szCs w:val="19"/>
          <w:lang w:val="es-ES"/>
        </w:rPr>
        <w:t xml:space="preserve"> </w:t>
      </w:r>
      <w:r w:rsidR="0062038E">
        <w:rPr>
          <w:rFonts w:cs="Arial"/>
          <w:szCs w:val="19"/>
          <w:lang w:val="es-ES"/>
        </w:rPr>
        <w:t xml:space="preserve">al exponer las razones de la compra de la </w:t>
      </w:r>
      <w:r w:rsidR="0062038E" w:rsidRPr="001F4510">
        <w:rPr>
          <w:rFonts w:cs="Arial"/>
          <w:szCs w:val="19"/>
          <w:lang w:val="es-ES"/>
        </w:rPr>
        <w:t>CASE CX210D</w:t>
      </w:r>
      <w:r w:rsidR="0062038E">
        <w:rPr>
          <w:rFonts w:cs="Arial"/>
          <w:szCs w:val="19"/>
          <w:lang w:val="es-ES"/>
        </w:rPr>
        <w:t>:</w:t>
      </w:r>
      <w:r>
        <w:rPr>
          <w:rFonts w:cs="Arial"/>
          <w:szCs w:val="19"/>
          <w:lang w:val="es-ES"/>
        </w:rPr>
        <w:t xml:space="preserve"> “</w:t>
      </w:r>
      <w:r w:rsidRPr="006E3DF8">
        <w:rPr>
          <w:rFonts w:cs="Arial"/>
          <w:szCs w:val="19"/>
          <w:lang w:val="es-ES"/>
        </w:rPr>
        <w:t xml:space="preserve">es la máquina </w:t>
      </w:r>
      <w:r w:rsidR="00345C07">
        <w:rPr>
          <w:rFonts w:cs="Arial"/>
          <w:szCs w:val="19"/>
          <w:lang w:val="es-ES"/>
        </w:rPr>
        <w:t xml:space="preserve">más </w:t>
      </w:r>
      <w:r w:rsidRPr="006E3DF8">
        <w:rPr>
          <w:rFonts w:cs="Arial"/>
          <w:szCs w:val="19"/>
          <w:lang w:val="es-ES"/>
        </w:rPr>
        <w:t>adecuada en relación calidad-precio</w:t>
      </w:r>
      <w:r w:rsidR="00345C07">
        <w:rPr>
          <w:rFonts w:cs="Arial"/>
          <w:szCs w:val="19"/>
          <w:lang w:val="es-ES"/>
        </w:rPr>
        <w:t>,</w:t>
      </w:r>
      <w:r w:rsidRPr="006E3DF8">
        <w:rPr>
          <w:rFonts w:cs="Arial"/>
          <w:szCs w:val="19"/>
          <w:lang w:val="es-ES"/>
        </w:rPr>
        <w:t xml:space="preserve"> </w:t>
      </w:r>
      <w:r w:rsidR="00345C07">
        <w:rPr>
          <w:rFonts w:cs="Arial"/>
          <w:szCs w:val="19"/>
          <w:lang w:val="es-ES"/>
        </w:rPr>
        <w:t xml:space="preserve">la </w:t>
      </w:r>
      <w:r w:rsidRPr="006E3DF8">
        <w:rPr>
          <w:rFonts w:cs="Arial"/>
          <w:szCs w:val="19"/>
          <w:lang w:val="es-ES"/>
        </w:rPr>
        <w:t xml:space="preserve">necesaria para </w:t>
      </w:r>
      <w:r>
        <w:rPr>
          <w:rFonts w:cs="Arial"/>
          <w:szCs w:val="19"/>
          <w:lang w:val="es-ES"/>
        </w:rPr>
        <w:t xml:space="preserve">nuestro trabajo y perfecta por </w:t>
      </w:r>
      <w:r w:rsidRPr="006E3DF8">
        <w:rPr>
          <w:rFonts w:cs="Arial"/>
          <w:szCs w:val="19"/>
          <w:lang w:val="es-ES"/>
        </w:rPr>
        <w:t>sus dimensio</w:t>
      </w:r>
      <w:r>
        <w:rPr>
          <w:rFonts w:cs="Arial"/>
          <w:szCs w:val="19"/>
          <w:lang w:val="es-ES"/>
        </w:rPr>
        <w:t>nes y caudal para desempeñar las tareas requeridas, p</w:t>
      </w:r>
      <w:r w:rsidRPr="006E3DF8">
        <w:rPr>
          <w:rFonts w:cs="Arial"/>
          <w:szCs w:val="19"/>
          <w:lang w:val="es-ES"/>
        </w:rPr>
        <w:t>rincipalment</w:t>
      </w:r>
      <w:r w:rsidR="00345C07">
        <w:rPr>
          <w:rFonts w:cs="Arial"/>
          <w:szCs w:val="19"/>
          <w:lang w:val="es-ES"/>
        </w:rPr>
        <w:t>e procesando madera en el monte</w:t>
      </w:r>
      <w:r w:rsidRPr="006E3DF8">
        <w:rPr>
          <w:rFonts w:cs="Arial"/>
          <w:szCs w:val="19"/>
          <w:lang w:val="es-ES"/>
        </w:rPr>
        <w:t xml:space="preserve"> </w:t>
      </w:r>
      <w:r>
        <w:rPr>
          <w:rFonts w:cs="Arial"/>
          <w:szCs w:val="19"/>
          <w:lang w:val="es-ES"/>
        </w:rPr>
        <w:t>y</w:t>
      </w:r>
      <w:r w:rsidR="00345C07">
        <w:rPr>
          <w:rFonts w:cs="Arial"/>
          <w:szCs w:val="19"/>
          <w:lang w:val="es-ES"/>
        </w:rPr>
        <w:t xml:space="preserve"> haciendo</w:t>
      </w:r>
      <w:r w:rsidRPr="006E3DF8">
        <w:rPr>
          <w:rFonts w:cs="Arial"/>
          <w:szCs w:val="19"/>
          <w:lang w:val="es-ES"/>
        </w:rPr>
        <w:t xml:space="preserve"> limpieza y ensanchamiento de pistas forestales </w:t>
      </w:r>
      <w:r>
        <w:rPr>
          <w:rFonts w:cs="Arial"/>
          <w:szCs w:val="19"/>
          <w:lang w:val="es-ES"/>
        </w:rPr>
        <w:t>si es preciso”</w:t>
      </w:r>
      <w:r w:rsidRPr="006E3DF8">
        <w:rPr>
          <w:rFonts w:cs="Arial"/>
          <w:szCs w:val="19"/>
          <w:lang w:val="es-ES"/>
        </w:rPr>
        <w:t>.</w:t>
      </w:r>
    </w:p>
    <w:p w:rsidR="006E3DF8" w:rsidRDefault="006E3DF8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>Alejandro Méndez destaca</w:t>
      </w:r>
      <w:r w:rsidR="00345C07">
        <w:rPr>
          <w:rFonts w:cs="Arial"/>
          <w:szCs w:val="19"/>
          <w:lang w:val="es-ES"/>
        </w:rPr>
        <w:t>,</w:t>
      </w:r>
      <w:r>
        <w:rPr>
          <w:rFonts w:cs="Arial"/>
          <w:szCs w:val="19"/>
          <w:lang w:val="es-ES"/>
        </w:rPr>
        <w:t xml:space="preserve"> </w:t>
      </w:r>
      <w:r w:rsidR="00F11142">
        <w:rPr>
          <w:rFonts w:cs="Arial"/>
          <w:szCs w:val="19"/>
          <w:lang w:val="es-ES"/>
        </w:rPr>
        <w:t>además, “su</w:t>
      </w:r>
      <w:r w:rsidRPr="006E3DF8">
        <w:rPr>
          <w:rFonts w:cs="Arial"/>
          <w:szCs w:val="19"/>
          <w:lang w:val="es-ES"/>
        </w:rPr>
        <w:t xml:space="preserve"> sencillez y </w:t>
      </w:r>
      <w:r w:rsidR="007C0429" w:rsidRPr="006E3DF8">
        <w:rPr>
          <w:rFonts w:cs="Arial"/>
          <w:szCs w:val="19"/>
          <w:lang w:val="es-ES"/>
        </w:rPr>
        <w:t>versatilidad,</w:t>
      </w:r>
      <w:r w:rsidRPr="006E3DF8">
        <w:rPr>
          <w:rFonts w:cs="Arial"/>
          <w:szCs w:val="19"/>
          <w:lang w:val="es-ES"/>
        </w:rPr>
        <w:t xml:space="preserve"> pero sobre todo su </w:t>
      </w:r>
      <w:r w:rsidR="00345C07">
        <w:rPr>
          <w:rFonts w:cs="Arial"/>
          <w:szCs w:val="19"/>
          <w:lang w:val="es-ES"/>
        </w:rPr>
        <w:t xml:space="preserve">sencillo </w:t>
      </w:r>
      <w:r w:rsidRPr="006E3DF8">
        <w:rPr>
          <w:rFonts w:cs="Arial"/>
          <w:szCs w:val="19"/>
          <w:lang w:val="es-ES"/>
        </w:rPr>
        <w:t xml:space="preserve">mantenimiento y </w:t>
      </w:r>
      <w:r w:rsidR="00345C07">
        <w:rPr>
          <w:rFonts w:cs="Arial"/>
          <w:szCs w:val="19"/>
          <w:lang w:val="es-ES"/>
        </w:rPr>
        <w:t xml:space="preserve">fácil </w:t>
      </w:r>
      <w:r w:rsidRPr="006E3DF8">
        <w:rPr>
          <w:rFonts w:cs="Arial"/>
          <w:szCs w:val="19"/>
          <w:lang w:val="es-ES"/>
        </w:rPr>
        <w:t>manejo para el operario a cargo de la máquina</w:t>
      </w:r>
      <w:r>
        <w:rPr>
          <w:rFonts w:cs="Arial"/>
          <w:szCs w:val="19"/>
          <w:lang w:val="es-ES"/>
        </w:rPr>
        <w:t xml:space="preserve">. </w:t>
      </w:r>
      <w:r w:rsidRPr="006E3DF8">
        <w:rPr>
          <w:rFonts w:cs="Arial"/>
          <w:szCs w:val="19"/>
          <w:lang w:val="es-ES"/>
        </w:rPr>
        <w:t xml:space="preserve">Estamos </w:t>
      </w:r>
      <w:r>
        <w:rPr>
          <w:rFonts w:cs="Arial"/>
          <w:szCs w:val="19"/>
          <w:lang w:val="es-ES"/>
        </w:rPr>
        <w:t xml:space="preserve">muy </w:t>
      </w:r>
      <w:r w:rsidRPr="006E3DF8">
        <w:rPr>
          <w:rFonts w:cs="Arial"/>
          <w:szCs w:val="19"/>
          <w:lang w:val="es-ES"/>
        </w:rPr>
        <w:t xml:space="preserve">satisfechos con </w:t>
      </w:r>
      <w:r>
        <w:rPr>
          <w:rFonts w:cs="Arial"/>
          <w:szCs w:val="19"/>
          <w:lang w:val="es-ES"/>
        </w:rPr>
        <w:t xml:space="preserve">la compra y con </w:t>
      </w:r>
      <w:r w:rsidRPr="006E3DF8">
        <w:rPr>
          <w:rFonts w:cs="Arial"/>
          <w:szCs w:val="19"/>
          <w:lang w:val="es-ES"/>
        </w:rPr>
        <w:t>el trato recibido en Ruvicsa, así como con su servicio técnico y personal</w:t>
      </w:r>
      <w:r>
        <w:rPr>
          <w:rFonts w:cs="Arial"/>
          <w:szCs w:val="19"/>
          <w:lang w:val="es-ES"/>
        </w:rPr>
        <w:t>”</w:t>
      </w:r>
    </w:p>
    <w:p w:rsidR="00AE2A60" w:rsidRDefault="00464FCF" w:rsidP="00513C85">
      <w:pPr>
        <w:spacing w:before="100" w:beforeAutospacing="1" w:after="100" w:afterAutospacing="1"/>
        <w:jc w:val="both"/>
        <w:rPr>
          <w:rFonts w:cs="Arial"/>
          <w:szCs w:val="19"/>
          <w:lang w:val="es-ES"/>
        </w:rPr>
      </w:pPr>
      <w:r>
        <w:rPr>
          <w:rFonts w:cs="Arial"/>
          <w:szCs w:val="19"/>
          <w:lang w:val="es-ES"/>
        </w:rPr>
        <w:t xml:space="preserve">Jose Luis Ruiz </w:t>
      </w:r>
      <w:r w:rsidR="007C0429">
        <w:rPr>
          <w:rFonts w:cs="Arial"/>
          <w:szCs w:val="19"/>
          <w:lang w:val="es-ES"/>
        </w:rPr>
        <w:t>añade: “m</w:t>
      </w:r>
      <w:r w:rsidR="00AE2A60" w:rsidRPr="00AE2A60">
        <w:rPr>
          <w:rFonts w:cs="Arial"/>
          <w:szCs w:val="19"/>
          <w:lang w:val="es-ES"/>
        </w:rPr>
        <w:t xml:space="preserve">e gustaría aprovechar para dar las gracias a </w:t>
      </w:r>
      <w:r w:rsidR="007C0429">
        <w:rPr>
          <w:rFonts w:cs="Arial"/>
          <w:szCs w:val="19"/>
          <w:lang w:val="es-ES"/>
        </w:rPr>
        <w:t>Maderas Luis Méndez</w:t>
      </w:r>
      <w:r w:rsidR="00AE2A60" w:rsidRPr="00AE2A60">
        <w:rPr>
          <w:rFonts w:cs="Arial"/>
          <w:szCs w:val="19"/>
          <w:lang w:val="es-ES"/>
        </w:rPr>
        <w:t xml:space="preserve"> por habernos elegido una vez más y confiar tanto en la calidad de las máquinas CASE como en el servicio técnico de R</w:t>
      </w:r>
      <w:r w:rsidR="007C0429">
        <w:rPr>
          <w:rFonts w:cs="Arial"/>
          <w:szCs w:val="19"/>
          <w:lang w:val="es-ES"/>
        </w:rPr>
        <w:t>uvicsa</w:t>
      </w:r>
      <w:r w:rsidR="00AE2A60" w:rsidRPr="00AE2A60">
        <w:rPr>
          <w:rFonts w:cs="Arial"/>
          <w:szCs w:val="19"/>
          <w:lang w:val="es-ES"/>
        </w:rPr>
        <w:t>, algo que siempre nos ha distinguido de nuestros competidores</w:t>
      </w:r>
      <w:r w:rsidR="007C0429">
        <w:rPr>
          <w:rFonts w:cs="Arial"/>
          <w:szCs w:val="19"/>
          <w:lang w:val="es-ES"/>
        </w:rPr>
        <w:t>”</w:t>
      </w:r>
      <w:r w:rsidR="00AE2A60" w:rsidRPr="00AE2A60">
        <w:rPr>
          <w:rFonts w:cs="Arial"/>
          <w:szCs w:val="19"/>
          <w:lang w:val="es-ES"/>
        </w:rPr>
        <w:t>.</w:t>
      </w:r>
    </w:p>
    <w:p w:rsidR="00513C85" w:rsidRDefault="009512BB" w:rsidP="00513C85">
      <w:pPr>
        <w:jc w:val="both"/>
        <w:rPr>
          <w:rFonts w:cs="Arial"/>
          <w:b/>
          <w:color w:val="auto"/>
          <w:szCs w:val="19"/>
          <w:lang w:val="es-ES"/>
        </w:rPr>
      </w:pPr>
      <w:r>
        <w:rPr>
          <w:rFonts w:cs="Arial"/>
          <w:b/>
          <w:color w:val="auto"/>
          <w:szCs w:val="19"/>
          <w:lang w:val="es-ES"/>
        </w:rPr>
        <w:t>Así fue l</w:t>
      </w:r>
      <w:r w:rsidR="00976956" w:rsidRPr="00976956">
        <w:rPr>
          <w:rFonts w:cs="Arial"/>
          <w:b/>
          <w:color w:val="auto"/>
          <w:szCs w:val="19"/>
          <w:lang w:val="es-ES"/>
        </w:rPr>
        <w:t xml:space="preserve">a </w:t>
      </w:r>
      <w:r w:rsidR="00AE2A60">
        <w:rPr>
          <w:rFonts w:cs="Arial"/>
          <w:b/>
          <w:color w:val="auto"/>
          <w:szCs w:val="19"/>
          <w:lang w:val="es-ES"/>
        </w:rPr>
        <w:t xml:space="preserve">adaptación de la </w:t>
      </w:r>
      <w:r w:rsidR="00AE2A60" w:rsidRPr="00AE2A60">
        <w:rPr>
          <w:rFonts w:cs="Arial"/>
          <w:b/>
          <w:color w:val="auto"/>
          <w:szCs w:val="19"/>
          <w:lang w:val="es-ES"/>
        </w:rPr>
        <w:t>CASE CX210D</w:t>
      </w:r>
      <w:r w:rsidR="00F72F3A">
        <w:rPr>
          <w:rFonts w:cs="Arial"/>
          <w:b/>
          <w:color w:val="auto"/>
          <w:szCs w:val="19"/>
          <w:lang w:val="es-ES"/>
        </w:rPr>
        <w:t xml:space="preserve"> para </w:t>
      </w:r>
      <w:r w:rsidR="00AE2A60">
        <w:rPr>
          <w:rFonts w:cs="Arial"/>
          <w:b/>
          <w:color w:val="auto"/>
          <w:szCs w:val="19"/>
          <w:lang w:val="es-ES"/>
        </w:rPr>
        <w:t>uso forestal</w:t>
      </w:r>
    </w:p>
    <w:p w:rsidR="00464FCF" w:rsidRPr="00113621" w:rsidRDefault="00464FCF" w:rsidP="00513C85">
      <w:pPr>
        <w:jc w:val="both"/>
        <w:rPr>
          <w:lang w:val="es-ES"/>
        </w:rPr>
      </w:pPr>
      <w:r w:rsidRPr="00113621">
        <w:rPr>
          <w:lang w:val="es-ES"/>
        </w:rPr>
        <w:t xml:space="preserve">El equipo procesador, compuesto por la excavadora CASE CX210D, adaptada a uso forestal, y el cabezal procesador IGSA 680A, realizará labores de apeo, descortezado, desramado y corte, pudiendo clasificar los trozos de madera cortada, por diámetros o longitudes. Además, el equipo procesador, puede sustituir el cabezal procesador por un cazo, por lo que la CASE CX210D ha quedado </w:t>
      </w:r>
      <w:r w:rsidR="003818BA">
        <w:rPr>
          <w:lang w:val="es-ES"/>
        </w:rPr>
        <w:t>preparada</w:t>
      </w:r>
      <w:r w:rsidRPr="00113621">
        <w:rPr>
          <w:lang w:val="es-ES"/>
        </w:rPr>
        <w:t xml:space="preserve"> para </w:t>
      </w:r>
      <w:r w:rsidR="003818BA">
        <w:rPr>
          <w:lang w:val="es-ES"/>
        </w:rPr>
        <w:t>llevar a cabo</w:t>
      </w:r>
      <w:r w:rsidRPr="00113621">
        <w:rPr>
          <w:lang w:val="es-ES"/>
        </w:rPr>
        <w:t xml:space="preserve"> labores de apertura de pistas y vías forestales o acondicionamiento de las mismas.</w:t>
      </w:r>
    </w:p>
    <w:p w:rsidR="00F72F3A" w:rsidRPr="00113621" w:rsidRDefault="00345C07" w:rsidP="00513C85">
      <w:pPr>
        <w:spacing w:before="100" w:beforeAutospacing="1" w:after="100" w:afterAutospacing="1"/>
        <w:jc w:val="both"/>
        <w:rPr>
          <w:lang w:val="es-ES"/>
        </w:rPr>
      </w:pPr>
      <w:r w:rsidRPr="00113621">
        <w:rPr>
          <w:lang w:val="es-ES"/>
        </w:rPr>
        <w:t>Industrias Guerra</w:t>
      </w:r>
      <w:r w:rsidR="00F72F3A" w:rsidRPr="00113621">
        <w:rPr>
          <w:lang w:val="es-ES"/>
        </w:rPr>
        <w:t xml:space="preserve">, </w:t>
      </w:r>
      <w:r w:rsidR="008B0967">
        <w:rPr>
          <w:lang w:val="es-ES"/>
        </w:rPr>
        <w:t xml:space="preserve">una de las </w:t>
      </w:r>
      <w:r w:rsidR="00E431A3" w:rsidRPr="00113621">
        <w:rPr>
          <w:lang w:val="es-ES"/>
        </w:rPr>
        <w:t>principal</w:t>
      </w:r>
      <w:r w:rsidR="008B0967">
        <w:rPr>
          <w:lang w:val="es-ES"/>
        </w:rPr>
        <w:t>es</w:t>
      </w:r>
      <w:r w:rsidR="00E431A3" w:rsidRPr="00113621">
        <w:rPr>
          <w:lang w:val="es-ES"/>
        </w:rPr>
        <w:t xml:space="preserve"> empresa</w:t>
      </w:r>
      <w:r w:rsidR="008B0967">
        <w:rPr>
          <w:lang w:val="es-ES"/>
        </w:rPr>
        <w:t>s</w:t>
      </w:r>
      <w:r w:rsidR="00E431A3" w:rsidRPr="00113621">
        <w:rPr>
          <w:lang w:val="es-ES"/>
        </w:rPr>
        <w:t xml:space="preserve"> española</w:t>
      </w:r>
      <w:r w:rsidR="008B0967">
        <w:rPr>
          <w:lang w:val="es-ES"/>
        </w:rPr>
        <w:t>s</w:t>
      </w:r>
      <w:r w:rsidR="00E431A3" w:rsidRPr="00113621">
        <w:rPr>
          <w:lang w:val="es-ES"/>
        </w:rPr>
        <w:t xml:space="preserve"> de fabricación propia de grúas forestales y mar</w:t>
      </w:r>
      <w:r w:rsidR="00F72F3A" w:rsidRPr="00113621">
        <w:rPr>
          <w:lang w:val="es-ES"/>
        </w:rPr>
        <w:t xml:space="preserve">inas, con </w:t>
      </w:r>
      <w:r w:rsidR="00E431A3" w:rsidRPr="00113621">
        <w:rPr>
          <w:lang w:val="es-ES"/>
        </w:rPr>
        <w:t>65 años de ex</w:t>
      </w:r>
      <w:r w:rsidR="00BA3F2C" w:rsidRPr="00113621">
        <w:rPr>
          <w:lang w:val="es-ES"/>
        </w:rPr>
        <w:t xml:space="preserve">periencia en el sector </w:t>
      </w:r>
      <w:r w:rsidR="00F72F3A" w:rsidRPr="00113621">
        <w:rPr>
          <w:lang w:val="es-ES"/>
        </w:rPr>
        <w:t xml:space="preserve">y con sede en </w:t>
      </w:r>
      <w:r w:rsidR="00BA3F2C" w:rsidRPr="00113621">
        <w:rPr>
          <w:lang w:val="es-ES"/>
        </w:rPr>
        <w:t>Vila de Cruces (Pontevedra)</w:t>
      </w:r>
      <w:r w:rsidR="00F72F3A" w:rsidRPr="00113621">
        <w:rPr>
          <w:lang w:val="es-ES"/>
        </w:rPr>
        <w:t xml:space="preserve"> se ha enc</w:t>
      </w:r>
      <w:r w:rsidR="003818BA">
        <w:rPr>
          <w:lang w:val="es-ES"/>
        </w:rPr>
        <w:t>argado de realizar las adaptacio</w:t>
      </w:r>
      <w:r w:rsidR="00F72F3A" w:rsidRPr="00113621">
        <w:rPr>
          <w:lang w:val="es-ES"/>
        </w:rPr>
        <w:t>nes necesarias de la CASE CX210D para uso forestal. Éstas consisten fundamentalmente en el cumplimiento de la Directiva de Máquinas 2006/42, en l</w:t>
      </w:r>
      <w:r w:rsidR="00464FCF" w:rsidRPr="00113621">
        <w:rPr>
          <w:lang w:val="es-ES"/>
        </w:rPr>
        <w:t>o relativo a los cambios en el uso de la máquina, de uso c</w:t>
      </w:r>
      <w:r w:rsidR="00F72F3A" w:rsidRPr="00113621">
        <w:rPr>
          <w:lang w:val="es-ES"/>
        </w:rPr>
        <w:t xml:space="preserve">ivil </w:t>
      </w:r>
      <w:r w:rsidR="00464FCF" w:rsidRPr="00113621">
        <w:rPr>
          <w:lang w:val="es-ES"/>
        </w:rPr>
        <w:t>a uso f</w:t>
      </w:r>
      <w:r w:rsidR="00F72F3A" w:rsidRPr="00113621">
        <w:rPr>
          <w:lang w:val="es-ES"/>
        </w:rPr>
        <w:t xml:space="preserve">orestal, por lo que en </w:t>
      </w:r>
      <w:r w:rsidR="00464FCF" w:rsidRPr="00113621">
        <w:rPr>
          <w:lang w:val="es-ES"/>
        </w:rPr>
        <w:t xml:space="preserve">este </w:t>
      </w:r>
      <w:r w:rsidR="00F72F3A" w:rsidRPr="00113621">
        <w:rPr>
          <w:lang w:val="es-ES"/>
        </w:rPr>
        <w:t xml:space="preserve">caso se </w:t>
      </w:r>
      <w:r w:rsidR="00464FCF" w:rsidRPr="00113621">
        <w:rPr>
          <w:lang w:val="es-ES"/>
        </w:rPr>
        <w:t>realizó</w:t>
      </w:r>
      <w:r w:rsidR="00F72F3A" w:rsidRPr="00113621">
        <w:rPr>
          <w:lang w:val="es-ES"/>
        </w:rPr>
        <w:t xml:space="preserve"> una </w:t>
      </w:r>
      <w:r w:rsidR="006B252F" w:rsidRPr="00113621">
        <w:rPr>
          <w:lang w:val="es-ES"/>
        </w:rPr>
        <w:t>estructura de p</w:t>
      </w:r>
      <w:r w:rsidR="00F72F3A" w:rsidRPr="00113621">
        <w:rPr>
          <w:lang w:val="es-ES"/>
        </w:rPr>
        <w:t xml:space="preserve">rotección de </w:t>
      </w:r>
      <w:r w:rsidR="006B252F" w:rsidRPr="00113621">
        <w:rPr>
          <w:lang w:val="es-ES"/>
        </w:rPr>
        <w:t>cabina h</w:t>
      </w:r>
      <w:r w:rsidR="00F72F3A" w:rsidRPr="00113621">
        <w:rPr>
          <w:lang w:val="es-ES"/>
        </w:rPr>
        <w:t>omologada.</w:t>
      </w:r>
    </w:p>
    <w:p w:rsidR="00F72F3A" w:rsidRPr="00113621" w:rsidRDefault="00F72F3A" w:rsidP="00513C85">
      <w:pPr>
        <w:jc w:val="both"/>
        <w:rPr>
          <w:lang w:val="es-ES"/>
        </w:rPr>
      </w:pPr>
      <w:r w:rsidRPr="00113621">
        <w:rPr>
          <w:lang w:val="es-ES"/>
        </w:rPr>
        <w:lastRenderedPageBreak/>
        <w:t xml:space="preserve">“Debido a las necesidades técnicas </w:t>
      </w:r>
      <w:r w:rsidR="00464FCF" w:rsidRPr="00113621">
        <w:rPr>
          <w:lang w:val="es-ES"/>
        </w:rPr>
        <w:t>requeridas</w:t>
      </w:r>
      <w:r w:rsidRPr="00113621">
        <w:rPr>
          <w:lang w:val="es-ES"/>
        </w:rPr>
        <w:t xml:space="preserve"> para trabajar con el </w:t>
      </w:r>
      <w:r w:rsidR="006B252F" w:rsidRPr="00113621">
        <w:rPr>
          <w:lang w:val="es-ES"/>
        </w:rPr>
        <w:t>c</w:t>
      </w:r>
      <w:r w:rsidRPr="00113621">
        <w:rPr>
          <w:lang w:val="es-ES"/>
        </w:rPr>
        <w:t xml:space="preserve">abezal </w:t>
      </w:r>
      <w:r w:rsidR="006B252F" w:rsidRPr="00113621">
        <w:rPr>
          <w:lang w:val="es-ES"/>
        </w:rPr>
        <w:t>p</w:t>
      </w:r>
      <w:r w:rsidRPr="00113621">
        <w:rPr>
          <w:lang w:val="es-ES"/>
        </w:rPr>
        <w:t>roce</w:t>
      </w:r>
      <w:r w:rsidR="00464FCF" w:rsidRPr="00113621">
        <w:rPr>
          <w:lang w:val="es-ES"/>
        </w:rPr>
        <w:t xml:space="preserve">sador IGSA 680A, la máquina base deberá tener salida </w:t>
      </w:r>
      <w:r w:rsidR="00A6409C" w:rsidRPr="00113621">
        <w:rPr>
          <w:lang w:val="es-ES"/>
        </w:rPr>
        <w:t>hidráulica</w:t>
      </w:r>
      <w:r w:rsidR="00464FCF" w:rsidRPr="00113621">
        <w:rPr>
          <w:lang w:val="es-ES"/>
        </w:rPr>
        <w:t xml:space="preserve"> para el martillo</w:t>
      </w:r>
      <w:r w:rsidRPr="00113621">
        <w:rPr>
          <w:lang w:val="es-ES"/>
        </w:rPr>
        <w:t xml:space="preserve"> y el s</w:t>
      </w:r>
      <w:r w:rsidR="00464FCF" w:rsidRPr="00113621">
        <w:rPr>
          <w:lang w:val="es-ES"/>
        </w:rPr>
        <w:t>umatorio de caudales, así como j</w:t>
      </w:r>
      <w:r w:rsidRPr="00113621">
        <w:rPr>
          <w:lang w:val="es-ES"/>
        </w:rPr>
        <w:t>unta girato</w:t>
      </w:r>
      <w:r w:rsidR="006B252F" w:rsidRPr="00113621">
        <w:rPr>
          <w:lang w:val="es-ES"/>
        </w:rPr>
        <w:t xml:space="preserve">ria adecuada para instalar una hoja </w:t>
      </w:r>
      <w:proofErr w:type="spellStart"/>
      <w:r w:rsidR="006B252F" w:rsidRPr="00113621">
        <w:rPr>
          <w:lang w:val="es-ES"/>
        </w:rPr>
        <w:t>b</w:t>
      </w:r>
      <w:r w:rsidRPr="00113621">
        <w:rPr>
          <w:lang w:val="es-ES"/>
        </w:rPr>
        <w:t>ulldozer</w:t>
      </w:r>
      <w:proofErr w:type="spellEnd"/>
      <w:r w:rsidRPr="00113621">
        <w:rPr>
          <w:lang w:val="es-ES"/>
        </w:rPr>
        <w:t xml:space="preserve">”, explica Roberto García </w:t>
      </w:r>
      <w:proofErr w:type="spellStart"/>
      <w:r w:rsidRPr="00113621">
        <w:rPr>
          <w:lang w:val="es-ES"/>
        </w:rPr>
        <w:t>Carreiras</w:t>
      </w:r>
      <w:proofErr w:type="spellEnd"/>
      <w:r w:rsidRPr="00113621">
        <w:rPr>
          <w:lang w:val="es-ES"/>
        </w:rPr>
        <w:t xml:space="preserve">, del. Departamento Comercial de Industrias Guerra. </w:t>
      </w:r>
    </w:p>
    <w:p w:rsidR="00F72F3A" w:rsidRPr="00113621" w:rsidRDefault="00F72F3A" w:rsidP="00513C85">
      <w:pPr>
        <w:jc w:val="both"/>
        <w:rPr>
          <w:lang w:val="es-ES"/>
        </w:rPr>
      </w:pPr>
    </w:p>
    <w:p w:rsidR="00F72F3A" w:rsidRPr="00113621" w:rsidRDefault="00F72F3A" w:rsidP="00513C85">
      <w:pPr>
        <w:jc w:val="both"/>
        <w:rPr>
          <w:lang w:val="es-ES"/>
        </w:rPr>
      </w:pPr>
      <w:r w:rsidRPr="00113621">
        <w:rPr>
          <w:lang w:val="es-ES"/>
        </w:rPr>
        <w:t>“El cliente suele requerir unas protecciones forestales sobre la excavadora, para protegerla de golpes por caídas de árboles, ramas, etc. Así, se sustitu</w:t>
      </w:r>
      <w:r w:rsidR="00464FCF" w:rsidRPr="00113621">
        <w:rPr>
          <w:lang w:val="es-ES"/>
        </w:rPr>
        <w:t>yen las puertas traseras de la m</w:t>
      </w:r>
      <w:r w:rsidRPr="00113621">
        <w:rPr>
          <w:lang w:val="es-ES"/>
        </w:rPr>
        <w:t>áquina por otras similares</w:t>
      </w:r>
      <w:r w:rsidR="00464FCF" w:rsidRPr="00113621">
        <w:rPr>
          <w:lang w:val="es-ES"/>
        </w:rPr>
        <w:t>,</w:t>
      </w:r>
      <w:r w:rsidRPr="00113621">
        <w:rPr>
          <w:lang w:val="es-ES"/>
        </w:rPr>
        <w:t xml:space="preserve"> pero en chapa de más espesor; se realiza una estructura de protección sobre el motor de la excavadora; se protegen los laterales de la máquina para evitar los golpeos de ramas o piedras y se protege</w:t>
      </w:r>
      <w:r w:rsidR="00464FCF" w:rsidRPr="00113621">
        <w:rPr>
          <w:lang w:val="es-ES"/>
        </w:rPr>
        <w:t>n</w:t>
      </w:r>
      <w:r w:rsidRPr="00113621">
        <w:rPr>
          <w:lang w:val="es-ES"/>
        </w:rPr>
        <w:t xml:space="preserve"> los bajos de la máquina</w:t>
      </w:r>
      <w:r w:rsidR="00464FCF" w:rsidRPr="00113621">
        <w:rPr>
          <w:lang w:val="es-ES"/>
        </w:rPr>
        <w:t xml:space="preserve">. Además, se instalan unas guías largas o patines largos, para evitar que se salgan las cadenas/orugas de la excavadora, además de realizar el recrecido de tejas, para facilitar la tracción por monte, </w:t>
      </w:r>
      <w:r w:rsidRPr="00113621">
        <w:rPr>
          <w:lang w:val="es-ES"/>
        </w:rPr>
        <w:t>.</w:t>
      </w:r>
      <w:r w:rsidR="00464FCF" w:rsidRPr="00113621">
        <w:rPr>
          <w:lang w:val="es-ES"/>
        </w:rPr>
        <w:t xml:space="preserve">continua García </w:t>
      </w:r>
      <w:proofErr w:type="spellStart"/>
      <w:r w:rsidR="00464FCF" w:rsidRPr="00113621">
        <w:rPr>
          <w:lang w:val="es-ES"/>
        </w:rPr>
        <w:t>Carreiras</w:t>
      </w:r>
      <w:proofErr w:type="spellEnd"/>
      <w:r w:rsidR="00464FCF" w:rsidRPr="00113621">
        <w:rPr>
          <w:lang w:val="es-ES"/>
        </w:rPr>
        <w:t>.</w:t>
      </w:r>
    </w:p>
    <w:p w:rsidR="00F72F3A" w:rsidRPr="00113621" w:rsidRDefault="00464FCF" w:rsidP="00513C85">
      <w:pPr>
        <w:spacing w:before="100" w:beforeAutospacing="1" w:after="100" w:afterAutospacing="1"/>
        <w:jc w:val="both"/>
        <w:rPr>
          <w:lang w:val="es-ES"/>
        </w:rPr>
      </w:pPr>
      <w:r w:rsidRPr="00113621">
        <w:rPr>
          <w:lang w:val="es-ES"/>
        </w:rPr>
        <w:t xml:space="preserve">“Por último, por motivos de eficiencia y seguridad, instalamos </w:t>
      </w:r>
      <w:r w:rsidR="003818BA" w:rsidRPr="00113621">
        <w:rPr>
          <w:lang w:val="es-ES"/>
        </w:rPr>
        <w:t>también</w:t>
      </w:r>
      <w:r w:rsidR="006B252F" w:rsidRPr="00113621">
        <w:rPr>
          <w:lang w:val="es-ES"/>
        </w:rPr>
        <w:t xml:space="preserve"> </w:t>
      </w:r>
      <w:r w:rsidRPr="00113621">
        <w:rPr>
          <w:lang w:val="es-ES"/>
        </w:rPr>
        <w:t>un enfriador eléctrico de doble ventilador, para prevenir el aumento de la temperatura del aceite, puesto que al trabajar con cabezal procesador, la temperatura del aceite, tiende a subir rápidamente, lo que podría derivar en un incendio, con el hándicap de encontrarse la máquina en monte” concluye.</w:t>
      </w:r>
    </w:p>
    <w:p w:rsidR="00011ABA" w:rsidRPr="00F94543" w:rsidRDefault="00011ABA" w:rsidP="00011ABA">
      <w:pPr>
        <w:jc w:val="both"/>
        <w:rPr>
          <w:rFonts w:cs="Arial"/>
          <w:color w:val="333333"/>
          <w:sz w:val="18"/>
          <w:szCs w:val="18"/>
          <w:lang w:val="es-ES" w:eastAsia="es-ES"/>
        </w:rPr>
      </w:pPr>
      <w:r w:rsidRPr="000B14FD">
        <w:rPr>
          <w:rFonts w:eastAsia="Helvetica Neue" w:cs="Arial"/>
          <w:b/>
          <w:szCs w:val="19"/>
          <w:shd w:val="clear" w:color="auto" w:fill="FFFFFF"/>
          <w:lang w:val="es"/>
        </w:rPr>
        <w:t>Características técnicas</w:t>
      </w:r>
      <w:r>
        <w:rPr>
          <w:rFonts w:eastAsia="Helvetica Neue" w:cs="Arial"/>
          <w:b/>
          <w:szCs w:val="19"/>
          <w:shd w:val="clear" w:color="auto" w:fill="FFFFFF"/>
          <w:lang w:val="es"/>
        </w:rPr>
        <w:t xml:space="preserve"> </w:t>
      </w:r>
      <w:r w:rsidRPr="00011ABA">
        <w:rPr>
          <w:rFonts w:eastAsia="Helvetica Neue" w:cs="Arial"/>
          <w:b/>
          <w:szCs w:val="19"/>
          <w:shd w:val="clear" w:color="auto" w:fill="FFFFFF"/>
          <w:lang w:val="es"/>
        </w:rPr>
        <w:t>CX210D</w:t>
      </w:r>
      <w:r w:rsidRPr="00F94543">
        <w:rPr>
          <w:rFonts w:cs="Arial"/>
          <w:color w:val="333333"/>
          <w:sz w:val="18"/>
          <w:szCs w:val="18"/>
          <w:lang w:val="es-ES" w:eastAsia="es-ES"/>
        </w:rPr>
        <w:t> </w:t>
      </w:r>
    </w:p>
    <w:p w:rsidR="00011ABA" w:rsidRDefault="00011ABA" w:rsidP="00011ABA">
      <w:pPr>
        <w:jc w:val="both"/>
        <w:rPr>
          <w:rFonts w:eastAsia="Helvetica Neue" w:cs="Arial"/>
          <w:szCs w:val="19"/>
          <w:shd w:val="clear" w:color="auto" w:fill="FFFFFF"/>
          <w:lang w:val="es"/>
        </w:rPr>
      </w:pPr>
    </w:p>
    <w:tbl>
      <w:tblPr>
        <w:tblW w:w="724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3119"/>
      </w:tblGrid>
      <w:tr w:rsidR="00011ABA" w:rsidTr="00D97B73">
        <w:trPr>
          <w:trHeight w:val="39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402FB2" w:rsidRDefault="00011ABA" w:rsidP="00D97B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hd w:val="clear" w:color="auto" w:fill="FFFFFF"/>
                <w:lang w:val="es"/>
              </w:rPr>
              <w:t>Excavadora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ABA" w:rsidRPr="00516DB3" w:rsidRDefault="00011ABA" w:rsidP="00D97B7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hd w:val="clear" w:color="auto" w:fill="FFFFFF"/>
                <w:lang w:val="es"/>
              </w:rPr>
              <w:t xml:space="preserve">CASE </w:t>
            </w:r>
            <w:r w:rsidRPr="00011ABA">
              <w:rPr>
                <w:b/>
                <w:shd w:val="clear" w:color="auto" w:fill="FFFFFF"/>
                <w:lang w:val="es"/>
              </w:rPr>
              <w:t>CX210D</w:t>
            </w:r>
          </w:p>
        </w:tc>
      </w:tr>
      <w:tr w:rsidR="00011ABA" w:rsidTr="00D97B73">
        <w:trPr>
          <w:trHeight w:val="37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BC2C65" w:rsidRDefault="00011ABA" w:rsidP="00D97B73">
            <w:pPr>
              <w:snapToGrid w:val="0"/>
              <w:jc w:val="both"/>
              <w:rPr>
                <w:rFonts w:cs="Helvetica"/>
                <w:sz w:val="24"/>
                <w:szCs w:val="24"/>
                <w:lang w:val="es-ES_tradnl"/>
              </w:rPr>
            </w:pPr>
            <w:r w:rsidRPr="00F94543">
              <w:rPr>
                <w:rFonts w:eastAsia="Helvetica Neue" w:cs="Arial"/>
                <w:szCs w:val="19"/>
                <w:shd w:val="clear" w:color="auto" w:fill="FFFFFF"/>
                <w:lang w:val="es"/>
              </w:rPr>
              <w:t>Peso máximo en orden de trabajo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516DB3" w:rsidRDefault="009512BB" w:rsidP="009512BB">
            <w:pPr>
              <w:snapToGrid w:val="0"/>
              <w:jc w:val="both"/>
              <w:rPr>
                <w:rFonts w:cs="Helvetica"/>
                <w:sz w:val="24"/>
                <w:szCs w:val="24"/>
              </w:rPr>
            </w:pPr>
            <w:r>
              <w:rPr>
                <w:rFonts w:eastAsia="Helvetica Neue" w:cs="Arial"/>
                <w:szCs w:val="19"/>
                <w:shd w:val="clear" w:color="auto" w:fill="FFFFFF"/>
                <w:lang w:val="es"/>
              </w:rPr>
              <w:t xml:space="preserve">21,5 t </w:t>
            </w:r>
          </w:p>
        </w:tc>
      </w:tr>
      <w:tr w:rsidR="00011ABA" w:rsidTr="00D97B73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512BB" w:rsidRPr="00BC2C65" w:rsidRDefault="00011ABA" w:rsidP="009512BB">
            <w:pPr>
              <w:spacing w:line="240" w:lineRule="auto"/>
              <w:jc w:val="both"/>
              <w:rPr>
                <w:rFonts w:cs="Helvetica"/>
                <w:sz w:val="24"/>
                <w:szCs w:val="24"/>
                <w:lang w:val="es-ES_tradnl"/>
              </w:rPr>
            </w:pPr>
            <w:r w:rsidRPr="00F94543">
              <w:rPr>
                <w:rFonts w:eastAsia="Helvetica Neue" w:cs="Arial"/>
                <w:szCs w:val="19"/>
                <w:shd w:val="clear" w:color="auto" w:fill="FFFFFF"/>
                <w:lang w:val="es"/>
              </w:rPr>
              <w:t xml:space="preserve">Potencia </w:t>
            </w:r>
          </w:p>
          <w:p w:rsidR="00011ABA" w:rsidRPr="00BC2C65" w:rsidRDefault="00011ABA" w:rsidP="00D97B73">
            <w:pPr>
              <w:snapToGrid w:val="0"/>
              <w:jc w:val="both"/>
              <w:rPr>
                <w:rFonts w:cs="Helvetica"/>
                <w:sz w:val="24"/>
                <w:szCs w:val="24"/>
                <w:lang w:val="es-ES_tradn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BA" w:rsidRPr="00F94543" w:rsidRDefault="00011ABA" w:rsidP="009512BB">
            <w:pPr>
              <w:spacing w:line="240" w:lineRule="auto"/>
              <w:jc w:val="both"/>
              <w:rPr>
                <w:rFonts w:eastAsia="Helvetica Neue" w:cs="Arial"/>
                <w:szCs w:val="19"/>
                <w:shd w:val="clear" w:color="auto" w:fill="FFFFFF"/>
                <w:lang w:val="es"/>
              </w:rPr>
            </w:pPr>
            <w:r w:rsidRPr="00F94543">
              <w:rPr>
                <w:rFonts w:eastAsia="Helvetica Neue" w:cs="Arial"/>
                <w:szCs w:val="19"/>
                <w:shd w:val="clear" w:color="auto" w:fill="FFFFFF"/>
                <w:lang w:val="es"/>
              </w:rPr>
              <w:t>1</w:t>
            </w:r>
            <w:r w:rsidR="009512BB">
              <w:rPr>
                <w:rFonts w:eastAsia="Helvetica Neue" w:cs="Arial"/>
                <w:szCs w:val="19"/>
                <w:shd w:val="clear" w:color="auto" w:fill="FFFFFF"/>
                <w:lang w:val="es"/>
              </w:rPr>
              <w:t>24</w:t>
            </w:r>
            <w:r w:rsidRPr="00F94543">
              <w:rPr>
                <w:rFonts w:eastAsia="Helvetica Neue" w:cs="Arial"/>
                <w:szCs w:val="19"/>
                <w:shd w:val="clear" w:color="auto" w:fill="FFFFFF"/>
                <w:lang w:val="es"/>
              </w:rPr>
              <w:t> kW / 1</w:t>
            </w:r>
            <w:r w:rsidR="009512BB">
              <w:rPr>
                <w:rFonts w:eastAsia="Helvetica Neue" w:cs="Arial"/>
                <w:szCs w:val="19"/>
                <w:shd w:val="clear" w:color="auto" w:fill="FFFFFF"/>
                <w:lang w:val="es"/>
              </w:rPr>
              <w:t>66</w:t>
            </w:r>
            <w:r w:rsidRPr="00F94543">
              <w:rPr>
                <w:rFonts w:eastAsia="Helvetica Neue" w:cs="Arial"/>
                <w:szCs w:val="19"/>
                <w:shd w:val="clear" w:color="auto" w:fill="FFFFFF"/>
                <w:lang w:val="es"/>
              </w:rPr>
              <w:t> CV</w:t>
            </w:r>
          </w:p>
        </w:tc>
      </w:tr>
      <w:tr w:rsidR="00011ABA" w:rsidRPr="00113621" w:rsidTr="00D97B73">
        <w:trPr>
          <w:trHeight w:val="3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11ABA" w:rsidRPr="00BC2C65" w:rsidRDefault="009512BB" w:rsidP="00D97B73">
            <w:pPr>
              <w:snapToGrid w:val="0"/>
              <w:jc w:val="both"/>
              <w:rPr>
                <w:rFonts w:cs="Helvetica"/>
                <w:sz w:val="24"/>
                <w:szCs w:val="24"/>
                <w:lang w:val="es-ES_tradnl"/>
              </w:rPr>
            </w:pPr>
            <w:r>
              <w:rPr>
                <w:rFonts w:eastAsia="Helvetica Neue" w:cs="Arial"/>
                <w:szCs w:val="19"/>
                <w:shd w:val="clear" w:color="auto" w:fill="FFFFFF"/>
                <w:lang w:val="es"/>
              </w:rPr>
              <w:t>Motor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1ABA" w:rsidRPr="00113621" w:rsidRDefault="009512BB" w:rsidP="00D97B73">
            <w:pPr>
              <w:rPr>
                <w:rFonts w:cs="Helvetica"/>
                <w:sz w:val="24"/>
                <w:szCs w:val="24"/>
                <w:lang w:val="fr-FR"/>
              </w:rPr>
            </w:pPr>
            <w:r w:rsidRPr="00113621">
              <w:rPr>
                <w:rFonts w:eastAsia="Helvetica Neue" w:cs="Arial"/>
                <w:szCs w:val="19"/>
                <w:shd w:val="clear" w:color="auto" w:fill="FFFFFF"/>
                <w:lang w:val="fr-FR"/>
              </w:rPr>
              <w:t xml:space="preserve">Isuzu - </w:t>
            </w:r>
            <w:proofErr w:type="spellStart"/>
            <w:r w:rsidRPr="00113621">
              <w:rPr>
                <w:rFonts w:eastAsia="Helvetica Neue" w:cs="Arial"/>
                <w:szCs w:val="19"/>
                <w:shd w:val="clear" w:color="auto" w:fill="FFFFFF"/>
                <w:lang w:val="fr-FR"/>
              </w:rPr>
              <w:t>Tier</w:t>
            </w:r>
            <w:proofErr w:type="spellEnd"/>
            <w:r w:rsidRPr="00113621">
              <w:rPr>
                <w:rFonts w:eastAsia="Helvetica Neue" w:cs="Arial"/>
                <w:szCs w:val="19"/>
                <w:shd w:val="clear" w:color="auto" w:fill="FFFFFF"/>
                <w:lang w:val="fr-FR"/>
              </w:rPr>
              <w:t xml:space="preserve"> 4F / EU Stage IV </w:t>
            </w:r>
          </w:p>
        </w:tc>
      </w:tr>
    </w:tbl>
    <w:p w:rsidR="006B252F" w:rsidRPr="00113621" w:rsidRDefault="006B252F" w:rsidP="008D1C42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  <w:lang w:val="fr-FR"/>
        </w:rPr>
      </w:pPr>
    </w:p>
    <w:p w:rsidR="008D1C42" w:rsidRPr="002F6B52" w:rsidRDefault="008D1C42" w:rsidP="00513C8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  <w:r w:rsidRPr="002F6B52">
        <w:rPr>
          <w:sz w:val="19"/>
          <w:szCs w:val="19"/>
        </w:rPr>
        <w:t xml:space="preserve">Visitando nuestra página web podrá descargar textos, imágenes y vídeos en alta definición relacionados con este comunicado de prensa (jpg 300 dpi, CMYK): </w:t>
      </w:r>
      <w:hyperlink r:id="rId9" w:history="1">
        <w:r w:rsidRPr="002F6B52">
          <w:rPr>
            <w:rStyle w:val="Hipervnculo"/>
            <w:sz w:val="19"/>
            <w:szCs w:val="19"/>
          </w:rPr>
          <w:t>www.casecetools.com/press-kit</w:t>
        </w:r>
      </w:hyperlink>
    </w:p>
    <w:p w:rsidR="008D1C42" w:rsidRPr="002F6B52" w:rsidRDefault="008D1C42" w:rsidP="00513C85">
      <w:pPr>
        <w:pStyle w:val="style2"/>
        <w:spacing w:before="0" w:beforeAutospacing="0" w:after="0" w:afterAutospacing="0" w:line="300" w:lineRule="exact"/>
        <w:jc w:val="both"/>
        <w:rPr>
          <w:sz w:val="19"/>
          <w:szCs w:val="19"/>
        </w:rPr>
      </w:pPr>
    </w:p>
    <w:p w:rsidR="003818BA" w:rsidRDefault="003818BA">
      <w:pPr>
        <w:spacing w:line="240" w:lineRule="auto"/>
        <w:rPr>
          <w:rFonts w:cs="Arial"/>
          <w:b/>
          <w:szCs w:val="19"/>
          <w:lang w:val="es-ES" w:eastAsia="es-ES"/>
        </w:rPr>
      </w:pPr>
      <w:r>
        <w:rPr>
          <w:b/>
          <w:szCs w:val="19"/>
        </w:rPr>
        <w:br w:type="page"/>
      </w:r>
    </w:p>
    <w:p w:rsidR="008D1C42" w:rsidRPr="002F6B52" w:rsidRDefault="008D1C42" w:rsidP="008D1C42">
      <w:pPr>
        <w:pStyle w:val="style2"/>
        <w:spacing w:before="0" w:beforeAutospacing="0" w:after="0" w:afterAutospacing="0" w:line="300" w:lineRule="exact"/>
        <w:jc w:val="both"/>
        <w:rPr>
          <w:b/>
        </w:rPr>
      </w:pPr>
      <w:r w:rsidRPr="002F6B52">
        <w:rPr>
          <w:b/>
          <w:sz w:val="19"/>
          <w:szCs w:val="19"/>
        </w:rPr>
        <w:lastRenderedPageBreak/>
        <w:t>Sigue a CASE en: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0"/>
        <w:gridCol w:w="130"/>
        <w:gridCol w:w="226"/>
        <w:gridCol w:w="5867"/>
      </w:tblGrid>
      <w:tr w:rsidR="008D1C42" w:rsidRPr="002F6B52" w:rsidTr="009C712C">
        <w:trPr>
          <w:trHeight w:val="1370"/>
          <w:tblCellSpacing w:w="0" w:type="dxa"/>
        </w:trPr>
        <w:tc>
          <w:tcPr>
            <w:tcW w:w="2280" w:type="dxa"/>
            <w:vAlign w:val="center"/>
            <w:hideMark/>
          </w:tcPr>
          <w:tbl>
            <w:tblPr>
              <w:tblW w:w="228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0"/>
              <w:gridCol w:w="570"/>
              <w:gridCol w:w="570"/>
              <w:gridCol w:w="570"/>
            </w:tblGrid>
            <w:tr w:rsidR="008D1C42" w:rsidRPr="002F6B52" w:rsidTr="009C712C">
              <w:trPr>
                <w:trHeight w:val="442"/>
                <w:tblCellSpacing w:w="0" w:type="dxa"/>
              </w:trPr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AA5837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hyperlink r:id="rId10" w:history="1"/>
                  <w:r w:rsidR="008D1C42" w:rsidRPr="002F6B52">
                    <w:rPr>
                      <w:noProof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1" name="Imagen 1" descr="facebook_case">
                          <a:hlinkClick xmlns:a="http://schemas.openxmlformats.org/drawingml/2006/main" r:id="rId11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acebook_cas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2" name="Imagen 2" descr="cid:image002.gif@01D123A8.097F9890">
                          <a:hlinkClick xmlns:a="http://schemas.openxmlformats.org/drawingml/2006/main" r:id="rId13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id:image002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r:link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3" name="Imagen 3" descr="cid:image003.gif@01D123A8.097F9890">
                          <a:hlinkClick xmlns:a="http://schemas.openxmlformats.org/drawingml/2006/main" r:id="rId1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id:image003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 r:link="rId1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70" w:type="dxa"/>
                  <w:vAlign w:val="center"/>
                  <w:hideMark/>
                </w:tcPr>
                <w:p w:rsidR="008D1C42" w:rsidRPr="002F6B52" w:rsidRDefault="008D1C42" w:rsidP="009C712C">
                  <w:pPr>
                    <w:rPr>
                      <w:rFonts w:ascii="Calibri" w:eastAsia="Calibri" w:hAnsi="Calibri"/>
                      <w:sz w:val="22"/>
                      <w:szCs w:val="22"/>
                      <w:lang w:val="es-ES"/>
                    </w:rPr>
                  </w:pPr>
                  <w:r w:rsidRPr="002F6B52">
                    <w:rPr>
                      <w:rFonts w:ascii="Times New Roman" w:hAnsi="Times New Roman"/>
                      <w:noProof/>
                      <w:color w:val="0000FF"/>
                      <w:sz w:val="24"/>
                      <w:szCs w:val="24"/>
                      <w:lang w:val="es-ES" w:eastAsia="es-ES"/>
                    </w:rPr>
                    <w:drawing>
                      <wp:inline distT="0" distB="0" distL="0" distR="0">
                        <wp:extent cx="191770" cy="191770"/>
                        <wp:effectExtent l="19050" t="0" r="0" b="0"/>
                        <wp:docPr id="4" name="Imagen 4" descr="cid:image004.gif@01D123A8.097F9890">
                          <a:hlinkClick xmlns:a="http://schemas.openxmlformats.org/drawingml/2006/main" r:id="rId1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id:image004.gif@01D123A8.097F98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 r:link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1770" cy="1917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D1C42" w:rsidRPr="002F6B52" w:rsidRDefault="008D1C42" w:rsidP="009C712C">
            <w:pPr>
              <w:rPr>
                <w:rFonts w:ascii="Times New Roman" w:hAnsi="Times New Roman"/>
                <w:sz w:val="20"/>
                <w:lang w:val="es-ES"/>
              </w:rPr>
            </w:pPr>
          </w:p>
        </w:tc>
        <w:tc>
          <w:tcPr>
            <w:tcW w:w="130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226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Times New Roman" w:hAnsi="Times New Roman"/>
                <w:sz w:val="20"/>
                <w:lang w:val="es-ES"/>
              </w:rPr>
              <w:t> </w:t>
            </w:r>
          </w:p>
        </w:tc>
        <w:tc>
          <w:tcPr>
            <w:tcW w:w="5867" w:type="dxa"/>
            <w:vAlign w:val="center"/>
            <w:hideMark/>
          </w:tcPr>
          <w:p w:rsidR="008D1C42" w:rsidRPr="002F6B52" w:rsidRDefault="008D1C42" w:rsidP="009C712C">
            <w:pPr>
              <w:rPr>
                <w:rFonts w:ascii="Calibri" w:eastAsia="Calibri" w:hAnsi="Calibri"/>
                <w:sz w:val="22"/>
                <w:szCs w:val="22"/>
                <w:lang w:val="es-ES"/>
              </w:rPr>
            </w:pPr>
            <w:r w:rsidRPr="002F6B52">
              <w:rPr>
                <w:rFonts w:ascii="Verdana" w:hAnsi="Verdana"/>
                <w:lang w:val="es-ES"/>
              </w:rPr>
              <w:t> </w:t>
            </w:r>
            <w:hyperlink r:id="rId22" w:history="1"/>
          </w:p>
        </w:tc>
      </w:tr>
    </w:tbl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>CASE Construction Equipment vende y mantiene una línea completa de maquinaria de construcción en todo el mundo, que incluye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el n.º 1 en retrocargadoras, excavadoras, motoniveladoras, cargadoras de neumáticos, rodillos vibradores de compactación, dozers de cadenas, minicargadoras, cargadoras compactas de cadenas y carretillas elevadoras todoterreno. A través de los concesionarios CASE, los clientes tienen acceso a un auténtico socio profesional con equipo y servicio postventa de categoría internacional, garantías líderes del sector y financiación flexible. Encontrará más información en </w:t>
      </w:r>
      <w:hyperlink r:id="rId23" w:history="1">
        <w:r w:rsidRPr="002F6B52">
          <w:rPr>
            <w:rStyle w:val="Hipervnculo"/>
            <w:i/>
            <w:iCs/>
            <w:lang w:val="es-ES"/>
          </w:rPr>
          <w:t>www.CASEce.com</w:t>
        </w:r>
      </w:hyperlink>
      <w:r w:rsidRPr="002F6B52">
        <w:rPr>
          <w:i/>
          <w:iCs/>
          <w:sz w:val="16"/>
          <w:szCs w:val="16"/>
          <w:lang w:val="es-ES"/>
        </w:rPr>
        <w:t>.</w:t>
      </w:r>
    </w:p>
    <w:p w:rsidR="008D1C42" w:rsidRPr="002F6B52" w:rsidRDefault="008D1C42" w:rsidP="008D1C42">
      <w:pPr>
        <w:jc w:val="both"/>
        <w:rPr>
          <w:i/>
          <w:iCs/>
          <w:sz w:val="16"/>
          <w:szCs w:val="16"/>
          <w:lang w:val="es-ES"/>
        </w:rPr>
      </w:pPr>
      <w:r w:rsidRPr="002F6B52">
        <w:rPr>
          <w:i/>
          <w:iCs/>
          <w:sz w:val="16"/>
          <w:szCs w:val="16"/>
          <w:lang w:val="es-ES"/>
        </w:rPr>
        <w:t xml:space="preserve">CASE Construction Equipment es una marca de CNH Industrial N.V., </w:t>
      </w:r>
      <w:r w:rsidRPr="002F6B52">
        <w:rPr>
          <w:rFonts w:cs="Arial"/>
          <w:i/>
          <w:iCs/>
          <w:sz w:val="16"/>
          <w:szCs w:val="16"/>
          <w:lang w:val="es-ES"/>
        </w:rPr>
        <w:t>líder mundial en bienes de equipo,</w:t>
      </w:r>
      <w:r w:rsidRPr="002F6B52">
        <w:rPr>
          <w:i/>
          <w:iCs/>
          <w:sz w:val="16"/>
          <w:szCs w:val="16"/>
          <w:lang w:val="es-ES"/>
        </w:rPr>
        <w:t xml:space="preserve"> cuyas acciones cotizan en la Bolsa de Nueva York (NYSE: CNH) y en el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>Mercato Telematico Azionario de la Bolsa Italiana (MI: CNHI). Encontrará más información sobre CNH</w:t>
      </w:r>
      <w:r w:rsidR="002F6B52" w:rsidRPr="002F6B52">
        <w:rPr>
          <w:i/>
          <w:iCs/>
          <w:sz w:val="16"/>
          <w:szCs w:val="16"/>
          <w:lang w:val="es-ES"/>
        </w:rPr>
        <w:t xml:space="preserve"> </w:t>
      </w:r>
      <w:r w:rsidRPr="002F6B52">
        <w:rPr>
          <w:i/>
          <w:iCs/>
          <w:sz w:val="16"/>
          <w:szCs w:val="16"/>
          <w:lang w:val="es-ES"/>
        </w:rPr>
        <w:t xml:space="preserve">Industrial en la página web </w:t>
      </w:r>
      <w:hyperlink r:id="rId24" w:history="1">
        <w:r w:rsidRPr="002F6B52">
          <w:rPr>
            <w:rStyle w:val="Hipervnculo"/>
            <w:i/>
            <w:iCs/>
            <w:lang w:val="es-ES"/>
          </w:rPr>
          <w:t>www.cnhindustrial.com</w:t>
        </w:r>
      </w:hyperlink>
      <w:r w:rsidRPr="002F6B52">
        <w:rPr>
          <w:rStyle w:val="Hipervnculo"/>
          <w:lang w:val="es-ES"/>
        </w:rPr>
        <w:t>.</w:t>
      </w:r>
    </w:p>
    <w:p w:rsidR="00FF0B6A" w:rsidRDefault="00FF0B6A" w:rsidP="008D1C42">
      <w:pPr>
        <w:pStyle w:val="01TESTO"/>
        <w:rPr>
          <w:b/>
          <w:bCs/>
          <w:lang w:val="es-ES"/>
        </w:rPr>
      </w:pPr>
    </w:p>
    <w:p w:rsidR="00513C85" w:rsidRDefault="00513C85" w:rsidP="008D1C42">
      <w:pPr>
        <w:pStyle w:val="01TESTO"/>
        <w:rPr>
          <w:b/>
          <w:bCs/>
          <w:lang w:val="es-ES"/>
        </w:rPr>
      </w:pPr>
    </w:p>
    <w:p w:rsidR="008D1C42" w:rsidRPr="002F6B52" w:rsidRDefault="008D1C42" w:rsidP="008D1C42">
      <w:pPr>
        <w:pStyle w:val="01TESTO"/>
        <w:rPr>
          <w:b/>
          <w:bCs/>
          <w:lang w:val="es-ES"/>
        </w:rPr>
      </w:pPr>
      <w:r w:rsidRPr="002F6B52">
        <w:rPr>
          <w:b/>
          <w:bCs/>
          <w:lang w:val="es-ES"/>
        </w:rPr>
        <w:t>Para más información, contactar con:</w:t>
      </w:r>
    </w:p>
    <w:p w:rsidR="008D1C42" w:rsidRPr="002F6B52" w:rsidRDefault="008D1C42" w:rsidP="008D1C42">
      <w:pPr>
        <w:pStyle w:val="01TESTO"/>
        <w:rPr>
          <w:lang w:val="es-ES"/>
        </w:rPr>
      </w:pPr>
    </w:p>
    <w:p w:rsidR="008D1C42" w:rsidRPr="00513C85" w:rsidRDefault="008D1C42" w:rsidP="008D1C42">
      <w:pPr>
        <w:rPr>
          <w:rFonts w:ascii="Helvetica" w:hAnsi="Helvetica" w:cs="Helvetica"/>
          <w:sz w:val="20"/>
          <w:lang w:val="en-US" w:eastAsia="es-ES"/>
        </w:rPr>
      </w:pPr>
      <w:r w:rsidRPr="00513C85">
        <w:rPr>
          <w:lang w:val="en-US"/>
        </w:rPr>
        <w:t>Nuria Martí (ALARCON &amp; HARRIS)</w:t>
      </w:r>
    </w:p>
    <w:p w:rsidR="008D1C42" w:rsidRPr="00513C85" w:rsidRDefault="008D1C42" w:rsidP="008D1C42">
      <w:pPr>
        <w:pStyle w:val="01TESTO"/>
        <w:rPr>
          <w:rFonts w:cs="Arial"/>
          <w:szCs w:val="19"/>
          <w:lang w:val="en-US"/>
        </w:rPr>
      </w:pPr>
    </w:p>
    <w:p w:rsidR="008D1C42" w:rsidRPr="00513C85" w:rsidRDefault="008D1C42" w:rsidP="008D1C42">
      <w:pPr>
        <w:pStyle w:val="01TESTO"/>
        <w:rPr>
          <w:lang w:val="en-US"/>
        </w:rPr>
      </w:pPr>
      <w:r w:rsidRPr="00513C85">
        <w:rPr>
          <w:lang w:val="en-US"/>
        </w:rPr>
        <w:t>Tel: +34 91 415 30 20</w:t>
      </w:r>
    </w:p>
    <w:p w:rsidR="008D1C42" w:rsidRPr="00513C85" w:rsidRDefault="008D1C42" w:rsidP="008D1C42">
      <w:pPr>
        <w:pStyle w:val="01TESTO"/>
        <w:rPr>
          <w:lang w:val="en-US"/>
        </w:rPr>
      </w:pPr>
    </w:p>
    <w:p w:rsidR="008D1C42" w:rsidRPr="00513C85" w:rsidRDefault="008D1C42" w:rsidP="008D1C42">
      <w:pPr>
        <w:rPr>
          <w:lang w:val="en-US"/>
        </w:rPr>
      </w:pPr>
      <w:r w:rsidRPr="00513C85">
        <w:rPr>
          <w:lang w:val="en-US"/>
        </w:rPr>
        <w:t xml:space="preserve">Email: </w:t>
      </w:r>
      <w:hyperlink r:id="rId25" w:history="1">
        <w:r w:rsidRPr="00513C85">
          <w:rPr>
            <w:rStyle w:val="Hipervnculo"/>
            <w:lang w:val="en-US"/>
          </w:rPr>
          <w:t>nmarti@alarconyharris.com</w:t>
        </w:r>
      </w:hyperlink>
    </w:p>
    <w:p w:rsidR="008D1C42" w:rsidRPr="00513C85" w:rsidRDefault="008D1C42" w:rsidP="008D1C42">
      <w:pPr>
        <w:rPr>
          <w:lang w:val="en-US"/>
        </w:rPr>
      </w:pPr>
    </w:p>
    <w:p w:rsidR="008D1C42" w:rsidRPr="00513C85" w:rsidRDefault="008D1C42" w:rsidP="008D1C42">
      <w:pPr>
        <w:pStyle w:val="01TESTO"/>
        <w:jc w:val="both"/>
        <w:rPr>
          <w:sz w:val="14"/>
          <w:szCs w:val="14"/>
          <w:lang w:val="en-US"/>
        </w:rPr>
      </w:pPr>
    </w:p>
    <w:p w:rsidR="000A4F6A" w:rsidRPr="00513C85" w:rsidRDefault="000A4F6A" w:rsidP="000A4F6A">
      <w:pPr>
        <w:jc w:val="both"/>
        <w:rPr>
          <w:rFonts w:cs="Arial"/>
          <w:szCs w:val="19"/>
          <w:lang w:val="en-US"/>
        </w:rPr>
      </w:pPr>
    </w:p>
    <w:sectPr w:rsidR="000A4F6A" w:rsidRPr="00513C85" w:rsidSect="00D01F1C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2835" w:right="851" w:bottom="2608" w:left="2552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BC" w:rsidRDefault="003417BC">
      <w:pPr>
        <w:spacing w:line="240" w:lineRule="auto"/>
      </w:pPr>
      <w:r>
        <w:separator/>
      </w:r>
    </w:p>
  </w:endnote>
  <w:endnote w:type="continuationSeparator" w:id="0">
    <w:p w:rsidR="003417BC" w:rsidRDefault="003417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Times New Roman"/>
    <w:charset w:val="00"/>
    <w:family w:val="auto"/>
    <w:pitch w:val="variable"/>
    <w:sig w:usb0="800002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Neue">
    <w:altName w:val="Arial Unicode MS"/>
    <w:charset w:val="00"/>
    <w:family w:val="auto"/>
    <w:pitch w:val="default"/>
    <w:sig w:usb0="00000000" w:usb1="00000000" w:usb2="0000000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  <w:p w:rsidR="009A09AF" w:rsidRDefault="009A09AF" w:rsidP="00D01F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Pr="00C7201A" w:rsidRDefault="009A09AF" w:rsidP="00D01F1C">
    <w:pPr>
      <w:pStyle w:val="04FOOTER"/>
      <w:framePr w:w="182" w:h="177" w:hRule="exact" w:wrap="around" w:vAnchor="page" w:hAnchor="page" w:x="442" w:y="1638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BC" w:rsidRDefault="003417BC">
      <w:pPr>
        <w:spacing w:line="240" w:lineRule="auto"/>
      </w:pPr>
      <w:r>
        <w:separator/>
      </w:r>
    </w:p>
  </w:footnote>
  <w:footnote w:type="continuationSeparator" w:id="0">
    <w:p w:rsidR="003417BC" w:rsidRDefault="003417B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AF" w:rsidRDefault="009A09AF" w:rsidP="00D01F1C">
    <w:r>
      <w:rPr>
        <w:noProof/>
        <w:lang w:val="es-ES" w:eastAsia="es-ES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51" name="Imagen 2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03_CASE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452754</wp:posOffset>
              </wp:positionV>
              <wp:extent cx="6858000" cy="0"/>
              <wp:effectExtent l="0" t="0" r="19050" b="19050"/>
              <wp:wrapNone/>
              <wp:docPr id="7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397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79B17B75" id="Line 47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5.65pt" to="540pt,3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8A5Ew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" strokeweight=".11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vertAnchor="page" w:horzAnchor="page" w:tblpX="2553" w:tblpY="15310"/>
      <w:tblW w:w="8809" w:type="dxa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614"/>
      <w:gridCol w:w="2835"/>
      <w:gridCol w:w="3360"/>
    </w:tblGrid>
    <w:tr w:rsidR="009A09AF" w:rsidRPr="00C7201A">
      <w:trPr>
        <w:trHeight w:val="735"/>
      </w:trPr>
      <w:tc>
        <w:tcPr>
          <w:tcW w:w="2614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  <w:lang w:val="en-US"/>
            </w:rPr>
          </w:pPr>
        </w:p>
      </w:tc>
      <w:tc>
        <w:tcPr>
          <w:tcW w:w="2835" w:type="dxa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  <w:tc>
        <w:tcPr>
          <w:tcW w:w="3360" w:type="dxa"/>
          <w:shd w:val="clear" w:color="auto" w:fill="auto"/>
          <w:vAlign w:val="bottom"/>
        </w:tcPr>
        <w:p w:rsidR="009A09AF" w:rsidRPr="00750ACB" w:rsidRDefault="009A09AF" w:rsidP="00D01F1C">
          <w:pPr>
            <w:pStyle w:val="04FOOTER"/>
            <w:ind w:right="-101"/>
            <w:rPr>
              <w:sz w:val="14"/>
              <w:highlight w:val="yellow"/>
            </w:rPr>
          </w:pPr>
        </w:p>
      </w:tc>
    </w:tr>
  </w:tbl>
  <w:p w:rsidR="009A09AF" w:rsidRPr="00B32BE8" w:rsidRDefault="009A09AF" w:rsidP="00D01F1C">
    <w:pPr>
      <w:rPr>
        <w:vanish/>
      </w:rPr>
    </w:pPr>
  </w:p>
  <w:tbl>
    <w:tblPr>
      <w:tblpPr w:leftFromText="142" w:rightFromText="142" w:vertAnchor="page" w:horzAnchor="page" w:tblpX="982" w:tblpY="7565"/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6"/>
    </w:tblGrid>
    <w:tr w:rsidR="009A09AF">
      <w:trPr>
        <w:trHeight w:val="5211"/>
      </w:trPr>
      <w:tc>
        <w:tcPr>
          <w:tcW w:w="606" w:type="dxa"/>
          <w:shd w:val="clear" w:color="auto" w:fill="auto"/>
          <w:vAlign w:val="bottom"/>
        </w:tcPr>
        <w:p w:rsidR="009A09AF" w:rsidRDefault="009A09AF" w:rsidP="00D01F1C">
          <w:pPr>
            <w:pStyle w:val="01TESTO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0</wp:posOffset>
                </wp:positionV>
                <wp:extent cx="387350" cy="3239135"/>
                <wp:effectExtent l="0" t="0" r="0" b="12065"/>
                <wp:wrapNone/>
                <wp:docPr id="50" name="Immagine 50" descr="PressRelease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0" descr="PressRelease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7350" cy="3239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9A09AF" w:rsidRDefault="009A09AF" w:rsidP="00D01F1C">
    <w:r>
      <w:rPr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-1106170</wp:posOffset>
          </wp:positionH>
          <wp:positionV relativeFrom="paragraph">
            <wp:posOffset>3606165</wp:posOffset>
          </wp:positionV>
          <wp:extent cx="622300" cy="368300"/>
          <wp:effectExtent l="0" t="0" r="12700" b="12700"/>
          <wp:wrapNone/>
          <wp:docPr id="49" name="Immagine 38" descr="CN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8" descr="CN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-1353820</wp:posOffset>
          </wp:positionH>
          <wp:positionV relativeFrom="margin">
            <wp:posOffset>-1343025</wp:posOffset>
          </wp:positionV>
          <wp:extent cx="1236345" cy="444500"/>
          <wp:effectExtent l="0" t="0" r="8255" b="12700"/>
          <wp:wrapNone/>
          <wp:docPr id="48" name="Imagen 58" descr="03_CAS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8" descr="03_CASE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6345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33A6E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4656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455294</wp:posOffset>
              </wp:positionV>
              <wp:extent cx="7086600" cy="0"/>
              <wp:effectExtent l="0" t="0" r="19050" b="19050"/>
              <wp:wrapNone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4C0D3F9A" id="Line 34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05pt,35.85pt" to="557.95pt,3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" strokeweight=".03739mm"/>
          </w:pict>
        </mc:Fallback>
      </mc:AlternateContent>
    </w:r>
    <w:r w:rsidR="00333A6E">
      <w:rPr>
        <w:noProof/>
        <w:lang w:val="es-ES" w:eastAsia="es-ES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>
              <wp:simplePos x="0" y="0"/>
              <wp:positionH relativeFrom="column">
                <wp:posOffset>-1944370</wp:posOffset>
              </wp:positionH>
              <wp:positionV relativeFrom="paragraph">
                <wp:posOffset>3414394</wp:posOffset>
              </wp:positionV>
              <wp:extent cx="685800" cy="0"/>
              <wp:effectExtent l="0" t="0" r="19050" b="19050"/>
              <wp:wrapNone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" cy="0"/>
                      </a:xfrm>
                      <a:prstGeom prst="line">
                        <a:avLst/>
                      </a:prstGeom>
                      <a:noFill/>
                      <a:ln w="134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<w:pict>
            <v:line w14:anchorId="39469615" id="Line 35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3.1pt,268.85pt" to="-99.1pt,26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lhXEQIAACg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" strokeweight=".03739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6B2F8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5F22A32"/>
    <w:multiLevelType w:val="hybridMultilevel"/>
    <w:tmpl w:val="D3DE8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024FB5"/>
    <w:multiLevelType w:val="hybridMultilevel"/>
    <w:tmpl w:val="6212C19E"/>
    <w:lvl w:ilvl="0" w:tplc="9A8A2DAE"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5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8"/>
    <w:rsid w:val="000057A2"/>
    <w:rsid w:val="00011ABA"/>
    <w:rsid w:val="000120A1"/>
    <w:rsid w:val="0001433C"/>
    <w:rsid w:val="00017072"/>
    <w:rsid w:val="00020252"/>
    <w:rsid w:val="00021EE3"/>
    <w:rsid w:val="000222F2"/>
    <w:rsid w:val="00024426"/>
    <w:rsid w:val="00036197"/>
    <w:rsid w:val="0004651C"/>
    <w:rsid w:val="00047C96"/>
    <w:rsid w:val="00060289"/>
    <w:rsid w:val="00065412"/>
    <w:rsid w:val="0008171E"/>
    <w:rsid w:val="000849DF"/>
    <w:rsid w:val="00084B1F"/>
    <w:rsid w:val="00084D26"/>
    <w:rsid w:val="00090E21"/>
    <w:rsid w:val="00091601"/>
    <w:rsid w:val="0009610F"/>
    <w:rsid w:val="000A4F6A"/>
    <w:rsid w:val="000D51A9"/>
    <w:rsid w:val="000E1A7E"/>
    <w:rsid w:val="000E71CF"/>
    <w:rsid w:val="000E7733"/>
    <w:rsid w:val="000F2B17"/>
    <w:rsid w:val="000F5EE1"/>
    <w:rsid w:val="000F7C8E"/>
    <w:rsid w:val="000F7DA3"/>
    <w:rsid w:val="0010352A"/>
    <w:rsid w:val="00105F55"/>
    <w:rsid w:val="00113621"/>
    <w:rsid w:val="00120A22"/>
    <w:rsid w:val="00121E80"/>
    <w:rsid w:val="00132964"/>
    <w:rsid w:val="00152F07"/>
    <w:rsid w:val="00156BEB"/>
    <w:rsid w:val="00157752"/>
    <w:rsid w:val="001618D6"/>
    <w:rsid w:val="001642D7"/>
    <w:rsid w:val="00166BE9"/>
    <w:rsid w:val="00170B08"/>
    <w:rsid w:val="00171CD9"/>
    <w:rsid w:val="00173B3D"/>
    <w:rsid w:val="00174619"/>
    <w:rsid w:val="0017544B"/>
    <w:rsid w:val="001754B7"/>
    <w:rsid w:val="001767F2"/>
    <w:rsid w:val="00194B71"/>
    <w:rsid w:val="00195CCA"/>
    <w:rsid w:val="00197D07"/>
    <w:rsid w:val="001A37A3"/>
    <w:rsid w:val="001B5634"/>
    <w:rsid w:val="001C3014"/>
    <w:rsid w:val="001D08A3"/>
    <w:rsid w:val="001D1C29"/>
    <w:rsid w:val="001F4510"/>
    <w:rsid w:val="00201360"/>
    <w:rsid w:val="00217020"/>
    <w:rsid w:val="00221028"/>
    <w:rsid w:val="002248FC"/>
    <w:rsid w:val="00225D26"/>
    <w:rsid w:val="00225E0B"/>
    <w:rsid w:val="002272D1"/>
    <w:rsid w:val="00237128"/>
    <w:rsid w:val="0024223A"/>
    <w:rsid w:val="00244788"/>
    <w:rsid w:val="00244912"/>
    <w:rsid w:val="00263776"/>
    <w:rsid w:val="00264C35"/>
    <w:rsid w:val="00273BE8"/>
    <w:rsid w:val="00282A60"/>
    <w:rsid w:val="002866E6"/>
    <w:rsid w:val="00295F5B"/>
    <w:rsid w:val="002A0272"/>
    <w:rsid w:val="002B0D45"/>
    <w:rsid w:val="002B4B2A"/>
    <w:rsid w:val="002E0413"/>
    <w:rsid w:val="002E42D8"/>
    <w:rsid w:val="002F6342"/>
    <w:rsid w:val="002F6B52"/>
    <w:rsid w:val="002F7342"/>
    <w:rsid w:val="002F74C3"/>
    <w:rsid w:val="003239F9"/>
    <w:rsid w:val="00325CA3"/>
    <w:rsid w:val="00330590"/>
    <w:rsid w:val="00333A6E"/>
    <w:rsid w:val="00333E8A"/>
    <w:rsid w:val="003417BC"/>
    <w:rsid w:val="0034265F"/>
    <w:rsid w:val="0034391D"/>
    <w:rsid w:val="00345C07"/>
    <w:rsid w:val="003577EC"/>
    <w:rsid w:val="00360295"/>
    <w:rsid w:val="00363FE5"/>
    <w:rsid w:val="003761F5"/>
    <w:rsid w:val="00376E0D"/>
    <w:rsid w:val="003818BA"/>
    <w:rsid w:val="003818E0"/>
    <w:rsid w:val="003925AD"/>
    <w:rsid w:val="00394194"/>
    <w:rsid w:val="003A25BD"/>
    <w:rsid w:val="003B01A0"/>
    <w:rsid w:val="003B1753"/>
    <w:rsid w:val="003B6440"/>
    <w:rsid w:val="003B68E3"/>
    <w:rsid w:val="003C1713"/>
    <w:rsid w:val="003C1A58"/>
    <w:rsid w:val="003D224E"/>
    <w:rsid w:val="003D4B8A"/>
    <w:rsid w:val="003E30F0"/>
    <w:rsid w:val="003E6488"/>
    <w:rsid w:val="003E69C1"/>
    <w:rsid w:val="003F2BAE"/>
    <w:rsid w:val="003F3969"/>
    <w:rsid w:val="00410435"/>
    <w:rsid w:val="0042385C"/>
    <w:rsid w:val="00424F26"/>
    <w:rsid w:val="00426608"/>
    <w:rsid w:val="0043406A"/>
    <w:rsid w:val="004468CC"/>
    <w:rsid w:val="004565F8"/>
    <w:rsid w:val="00456A34"/>
    <w:rsid w:val="0046276A"/>
    <w:rsid w:val="004632B1"/>
    <w:rsid w:val="00463600"/>
    <w:rsid w:val="00464FCF"/>
    <w:rsid w:val="0046565A"/>
    <w:rsid w:val="00467BD4"/>
    <w:rsid w:val="00473E67"/>
    <w:rsid w:val="00474ED5"/>
    <w:rsid w:val="00477548"/>
    <w:rsid w:val="0048550D"/>
    <w:rsid w:val="00491B25"/>
    <w:rsid w:val="00495277"/>
    <w:rsid w:val="00496DE7"/>
    <w:rsid w:val="004B314A"/>
    <w:rsid w:val="004B792F"/>
    <w:rsid w:val="004C070B"/>
    <w:rsid w:val="004C1A8A"/>
    <w:rsid w:val="004D0018"/>
    <w:rsid w:val="004E4796"/>
    <w:rsid w:val="004E5104"/>
    <w:rsid w:val="004F363E"/>
    <w:rsid w:val="004F7034"/>
    <w:rsid w:val="004F791E"/>
    <w:rsid w:val="00500EE0"/>
    <w:rsid w:val="00510635"/>
    <w:rsid w:val="00513C85"/>
    <w:rsid w:val="0052035D"/>
    <w:rsid w:val="005212D9"/>
    <w:rsid w:val="005227B5"/>
    <w:rsid w:val="00523FB4"/>
    <w:rsid w:val="005240E6"/>
    <w:rsid w:val="00526224"/>
    <w:rsid w:val="00527696"/>
    <w:rsid w:val="00532772"/>
    <w:rsid w:val="0053481D"/>
    <w:rsid w:val="0054255B"/>
    <w:rsid w:val="00544E9D"/>
    <w:rsid w:val="005504C0"/>
    <w:rsid w:val="00551A21"/>
    <w:rsid w:val="00554589"/>
    <w:rsid w:val="00556669"/>
    <w:rsid w:val="00567398"/>
    <w:rsid w:val="00582D6E"/>
    <w:rsid w:val="00582DC8"/>
    <w:rsid w:val="00595532"/>
    <w:rsid w:val="0059649F"/>
    <w:rsid w:val="0059734F"/>
    <w:rsid w:val="005A5028"/>
    <w:rsid w:val="005A6C8C"/>
    <w:rsid w:val="005A73A9"/>
    <w:rsid w:val="005C1E9F"/>
    <w:rsid w:val="005C59D0"/>
    <w:rsid w:val="005C5C46"/>
    <w:rsid w:val="005D0DFE"/>
    <w:rsid w:val="005D1D11"/>
    <w:rsid w:val="005E1862"/>
    <w:rsid w:val="00612508"/>
    <w:rsid w:val="00617B37"/>
    <w:rsid w:val="0062038E"/>
    <w:rsid w:val="00623E11"/>
    <w:rsid w:val="00624580"/>
    <w:rsid w:val="00632A9D"/>
    <w:rsid w:val="00634A12"/>
    <w:rsid w:val="0063533E"/>
    <w:rsid w:val="0064142F"/>
    <w:rsid w:val="006459E0"/>
    <w:rsid w:val="0065024B"/>
    <w:rsid w:val="00652C19"/>
    <w:rsid w:val="006650AB"/>
    <w:rsid w:val="00682611"/>
    <w:rsid w:val="006835F8"/>
    <w:rsid w:val="006844E7"/>
    <w:rsid w:val="006863D2"/>
    <w:rsid w:val="006869DA"/>
    <w:rsid w:val="00687FC8"/>
    <w:rsid w:val="0069041B"/>
    <w:rsid w:val="00693D93"/>
    <w:rsid w:val="0069414E"/>
    <w:rsid w:val="006963E9"/>
    <w:rsid w:val="00697577"/>
    <w:rsid w:val="006A27EA"/>
    <w:rsid w:val="006A4FCF"/>
    <w:rsid w:val="006A57EE"/>
    <w:rsid w:val="006B252F"/>
    <w:rsid w:val="006B6661"/>
    <w:rsid w:val="006C1B2A"/>
    <w:rsid w:val="006C4143"/>
    <w:rsid w:val="006E3DF8"/>
    <w:rsid w:val="006E4181"/>
    <w:rsid w:val="006E650B"/>
    <w:rsid w:val="006E75BF"/>
    <w:rsid w:val="00704A21"/>
    <w:rsid w:val="00705A49"/>
    <w:rsid w:val="00711DE5"/>
    <w:rsid w:val="0072308B"/>
    <w:rsid w:val="00723D5B"/>
    <w:rsid w:val="00725120"/>
    <w:rsid w:val="00725DED"/>
    <w:rsid w:val="0072724F"/>
    <w:rsid w:val="00732D13"/>
    <w:rsid w:val="00752F5C"/>
    <w:rsid w:val="00757B78"/>
    <w:rsid w:val="00761C00"/>
    <w:rsid w:val="0076781F"/>
    <w:rsid w:val="00784D02"/>
    <w:rsid w:val="0078662A"/>
    <w:rsid w:val="0078799D"/>
    <w:rsid w:val="00792C47"/>
    <w:rsid w:val="00793CC5"/>
    <w:rsid w:val="007B3B4C"/>
    <w:rsid w:val="007C0429"/>
    <w:rsid w:val="007C0CCE"/>
    <w:rsid w:val="007C2782"/>
    <w:rsid w:val="007C7733"/>
    <w:rsid w:val="007D04F6"/>
    <w:rsid w:val="007D0F92"/>
    <w:rsid w:val="007D2B3D"/>
    <w:rsid w:val="007D39AD"/>
    <w:rsid w:val="007E1AD8"/>
    <w:rsid w:val="007E6FAD"/>
    <w:rsid w:val="007F2101"/>
    <w:rsid w:val="007F27EA"/>
    <w:rsid w:val="008062BC"/>
    <w:rsid w:val="008222D0"/>
    <w:rsid w:val="008327F4"/>
    <w:rsid w:val="00832C6D"/>
    <w:rsid w:val="008416ED"/>
    <w:rsid w:val="008418A7"/>
    <w:rsid w:val="00847CCF"/>
    <w:rsid w:val="008510AB"/>
    <w:rsid w:val="00852ABE"/>
    <w:rsid w:val="008549A3"/>
    <w:rsid w:val="00857C2E"/>
    <w:rsid w:val="008632C3"/>
    <w:rsid w:val="00863785"/>
    <w:rsid w:val="0086570B"/>
    <w:rsid w:val="00870317"/>
    <w:rsid w:val="00875FC4"/>
    <w:rsid w:val="00876FEA"/>
    <w:rsid w:val="00890809"/>
    <w:rsid w:val="008A14E0"/>
    <w:rsid w:val="008B0967"/>
    <w:rsid w:val="008B1E9C"/>
    <w:rsid w:val="008B4C8B"/>
    <w:rsid w:val="008B5943"/>
    <w:rsid w:val="008B608C"/>
    <w:rsid w:val="008C07DC"/>
    <w:rsid w:val="008C5AAC"/>
    <w:rsid w:val="008D1C42"/>
    <w:rsid w:val="008D4A64"/>
    <w:rsid w:val="008D7781"/>
    <w:rsid w:val="008E14A9"/>
    <w:rsid w:val="008E3ADA"/>
    <w:rsid w:val="008E4C3C"/>
    <w:rsid w:val="008E6D38"/>
    <w:rsid w:val="008F13FD"/>
    <w:rsid w:val="008F459C"/>
    <w:rsid w:val="008F47CA"/>
    <w:rsid w:val="008F5499"/>
    <w:rsid w:val="00901F74"/>
    <w:rsid w:val="0090486D"/>
    <w:rsid w:val="00911291"/>
    <w:rsid w:val="00922012"/>
    <w:rsid w:val="0092405C"/>
    <w:rsid w:val="0093575E"/>
    <w:rsid w:val="0094780E"/>
    <w:rsid w:val="009512BB"/>
    <w:rsid w:val="00967702"/>
    <w:rsid w:val="00975565"/>
    <w:rsid w:val="0097668F"/>
    <w:rsid w:val="00976956"/>
    <w:rsid w:val="00977FE9"/>
    <w:rsid w:val="009840E2"/>
    <w:rsid w:val="00986747"/>
    <w:rsid w:val="00986929"/>
    <w:rsid w:val="009A09AF"/>
    <w:rsid w:val="009A2480"/>
    <w:rsid w:val="009A3334"/>
    <w:rsid w:val="009C0E16"/>
    <w:rsid w:val="009C4DE7"/>
    <w:rsid w:val="009C5112"/>
    <w:rsid w:val="009E2F65"/>
    <w:rsid w:val="009F4E16"/>
    <w:rsid w:val="009F6697"/>
    <w:rsid w:val="00A0356F"/>
    <w:rsid w:val="00A03FB5"/>
    <w:rsid w:val="00A06413"/>
    <w:rsid w:val="00A071F9"/>
    <w:rsid w:val="00A11C95"/>
    <w:rsid w:val="00A124E3"/>
    <w:rsid w:val="00A20A0A"/>
    <w:rsid w:val="00A25B5E"/>
    <w:rsid w:val="00A33AFD"/>
    <w:rsid w:val="00A35D4D"/>
    <w:rsid w:val="00A36F0E"/>
    <w:rsid w:val="00A40810"/>
    <w:rsid w:val="00A4148D"/>
    <w:rsid w:val="00A51503"/>
    <w:rsid w:val="00A515EF"/>
    <w:rsid w:val="00A526AF"/>
    <w:rsid w:val="00A527D2"/>
    <w:rsid w:val="00A6391F"/>
    <w:rsid w:val="00A6409C"/>
    <w:rsid w:val="00A65079"/>
    <w:rsid w:val="00A75A56"/>
    <w:rsid w:val="00A76496"/>
    <w:rsid w:val="00A806E1"/>
    <w:rsid w:val="00A86168"/>
    <w:rsid w:val="00AA52E9"/>
    <w:rsid w:val="00AA5837"/>
    <w:rsid w:val="00AA74C6"/>
    <w:rsid w:val="00AC2564"/>
    <w:rsid w:val="00AC593E"/>
    <w:rsid w:val="00AC59F7"/>
    <w:rsid w:val="00AD1B64"/>
    <w:rsid w:val="00AD58F5"/>
    <w:rsid w:val="00AD6A8E"/>
    <w:rsid w:val="00AE2A60"/>
    <w:rsid w:val="00AF4801"/>
    <w:rsid w:val="00B01CBB"/>
    <w:rsid w:val="00B11CAA"/>
    <w:rsid w:val="00B23AB6"/>
    <w:rsid w:val="00B249D8"/>
    <w:rsid w:val="00B314DB"/>
    <w:rsid w:val="00B32BE8"/>
    <w:rsid w:val="00B4017B"/>
    <w:rsid w:val="00B4271F"/>
    <w:rsid w:val="00B462D7"/>
    <w:rsid w:val="00B46B04"/>
    <w:rsid w:val="00B53DB2"/>
    <w:rsid w:val="00B55E40"/>
    <w:rsid w:val="00B6126C"/>
    <w:rsid w:val="00B622F0"/>
    <w:rsid w:val="00B76635"/>
    <w:rsid w:val="00B81EB6"/>
    <w:rsid w:val="00B85252"/>
    <w:rsid w:val="00B86EA9"/>
    <w:rsid w:val="00B96711"/>
    <w:rsid w:val="00BA3F2C"/>
    <w:rsid w:val="00BA4B18"/>
    <w:rsid w:val="00BA6862"/>
    <w:rsid w:val="00BC143A"/>
    <w:rsid w:val="00BC1E61"/>
    <w:rsid w:val="00BC2E4F"/>
    <w:rsid w:val="00BF40B2"/>
    <w:rsid w:val="00C00DD7"/>
    <w:rsid w:val="00C15592"/>
    <w:rsid w:val="00C3020B"/>
    <w:rsid w:val="00C41FA8"/>
    <w:rsid w:val="00C4419C"/>
    <w:rsid w:val="00C55837"/>
    <w:rsid w:val="00C70E26"/>
    <w:rsid w:val="00C7139F"/>
    <w:rsid w:val="00C71BAE"/>
    <w:rsid w:val="00C72D0A"/>
    <w:rsid w:val="00C77355"/>
    <w:rsid w:val="00C85ECD"/>
    <w:rsid w:val="00C9238C"/>
    <w:rsid w:val="00CA5F8E"/>
    <w:rsid w:val="00CB54F7"/>
    <w:rsid w:val="00CC29B6"/>
    <w:rsid w:val="00CC336A"/>
    <w:rsid w:val="00CD0140"/>
    <w:rsid w:val="00CD14C0"/>
    <w:rsid w:val="00CE29FA"/>
    <w:rsid w:val="00CE43D4"/>
    <w:rsid w:val="00D0182F"/>
    <w:rsid w:val="00D01F1C"/>
    <w:rsid w:val="00D067C0"/>
    <w:rsid w:val="00D1162B"/>
    <w:rsid w:val="00D12FE5"/>
    <w:rsid w:val="00D13813"/>
    <w:rsid w:val="00D15A2A"/>
    <w:rsid w:val="00D17044"/>
    <w:rsid w:val="00D21A49"/>
    <w:rsid w:val="00D3457C"/>
    <w:rsid w:val="00D446D2"/>
    <w:rsid w:val="00D45362"/>
    <w:rsid w:val="00D47AE4"/>
    <w:rsid w:val="00D5394C"/>
    <w:rsid w:val="00D544A5"/>
    <w:rsid w:val="00D5520D"/>
    <w:rsid w:val="00D63E9D"/>
    <w:rsid w:val="00D73CFA"/>
    <w:rsid w:val="00D82FE1"/>
    <w:rsid w:val="00D86B46"/>
    <w:rsid w:val="00DA3AB9"/>
    <w:rsid w:val="00DC4A12"/>
    <w:rsid w:val="00DC4FF9"/>
    <w:rsid w:val="00DD1372"/>
    <w:rsid w:val="00DD352A"/>
    <w:rsid w:val="00DD745C"/>
    <w:rsid w:val="00DD7C58"/>
    <w:rsid w:val="00DF150A"/>
    <w:rsid w:val="00DF2F26"/>
    <w:rsid w:val="00DF43FE"/>
    <w:rsid w:val="00DF6A14"/>
    <w:rsid w:val="00E02ECC"/>
    <w:rsid w:val="00E14831"/>
    <w:rsid w:val="00E153C8"/>
    <w:rsid w:val="00E23075"/>
    <w:rsid w:val="00E26958"/>
    <w:rsid w:val="00E35473"/>
    <w:rsid w:val="00E36E85"/>
    <w:rsid w:val="00E37299"/>
    <w:rsid w:val="00E403B2"/>
    <w:rsid w:val="00E431A3"/>
    <w:rsid w:val="00E46D85"/>
    <w:rsid w:val="00E51B36"/>
    <w:rsid w:val="00E54BE4"/>
    <w:rsid w:val="00E552F4"/>
    <w:rsid w:val="00E56ED4"/>
    <w:rsid w:val="00E603F5"/>
    <w:rsid w:val="00E61DCC"/>
    <w:rsid w:val="00E74FCC"/>
    <w:rsid w:val="00E84A88"/>
    <w:rsid w:val="00E902C9"/>
    <w:rsid w:val="00E937D0"/>
    <w:rsid w:val="00E9717C"/>
    <w:rsid w:val="00EA2763"/>
    <w:rsid w:val="00EB1B82"/>
    <w:rsid w:val="00EC4604"/>
    <w:rsid w:val="00EE5B0D"/>
    <w:rsid w:val="00EE7D68"/>
    <w:rsid w:val="00EF3E92"/>
    <w:rsid w:val="00F0103B"/>
    <w:rsid w:val="00F11142"/>
    <w:rsid w:val="00F1595E"/>
    <w:rsid w:val="00F203ED"/>
    <w:rsid w:val="00F3099C"/>
    <w:rsid w:val="00F3383B"/>
    <w:rsid w:val="00F34902"/>
    <w:rsid w:val="00F4331E"/>
    <w:rsid w:val="00F433E0"/>
    <w:rsid w:val="00F43A90"/>
    <w:rsid w:val="00F56D48"/>
    <w:rsid w:val="00F624CE"/>
    <w:rsid w:val="00F62F6F"/>
    <w:rsid w:val="00F7068B"/>
    <w:rsid w:val="00F72F3A"/>
    <w:rsid w:val="00F76120"/>
    <w:rsid w:val="00F77DB9"/>
    <w:rsid w:val="00F81DB9"/>
    <w:rsid w:val="00FB4270"/>
    <w:rsid w:val="00FC7335"/>
    <w:rsid w:val="00FD493E"/>
    <w:rsid w:val="00FE2124"/>
    <w:rsid w:val="00FE248E"/>
    <w:rsid w:val="00FF0B6A"/>
    <w:rsid w:val="00FF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16"/>
    <w:pPr>
      <w:spacing w:line="300" w:lineRule="exact"/>
    </w:pPr>
    <w:rPr>
      <w:rFonts w:ascii="Arial" w:hAnsi="Arial"/>
      <w:color w:val="000000"/>
      <w:sz w:val="19"/>
      <w:lang w:val="it-IT" w:eastAsia="it-IT"/>
    </w:rPr>
  </w:style>
  <w:style w:type="paragraph" w:styleId="Ttulo1">
    <w:name w:val="heading 1"/>
    <w:basedOn w:val="Normal"/>
    <w:next w:val="Normal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01TESTO">
    <w:name w:val="01_TESTO"/>
    <w:basedOn w:val="Normal"/>
    <w:rsid w:val="00C16525"/>
  </w:style>
  <w:style w:type="paragraph" w:customStyle="1" w:styleId="03INTESTAZIONE">
    <w:name w:val="03 INTESTAZIONE"/>
    <w:basedOn w:val="01TESTO"/>
    <w:rsid w:val="005570E2"/>
    <w:pPr>
      <w:spacing w:line="192" w:lineRule="exact"/>
    </w:pPr>
    <w:rPr>
      <w:sz w:val="16"/>
    </w:rPr>
  </w:style>
  <w:style w:type="paragraph" w:styleId="Piedepgina">
    <w:name w:val="footer"/>
    <w:basedOn w:val="Normal"/>
    <w:semiHidden/>
    <w:rsid w:val="00FB1A23"/>
    <w:pPr>
      <w:tabs>
        <w:tab w:val="center" w:pos="4819"/>
        <w:tab w:val="right" w:pos="9638"/>
      </w:tabs>
    </w:pPr>
  </w:style>
  <w:style w:type="paragraph" w:styleId="Encabezado">
    <w:name w:val="header"/>
    <w:basedOn w:val="Normal"/>
    <w:rsid w:val="005570E2"/>
    <w:pPr>
      <w:tabs>
        <w:tab w:val="center" w:pos="4819"/>
        <w:tab w:val="right" w:pos="9638"/>
      </w:tabs>
    </w:pPr>
  </w:style>
  <w:style w:type="character" w:customStyle="1" w:styleId="02TESTOBOLD">
    <w:name w:val="02_TESTO_BOLD"/>
    <w:rsid w:val="00C5169B"/>
    <w:rPr>
      <w:rFonts w:ascii="Arial" w:hAnsi="Arial"/>
      <w:b/>
      <w:color w:val="000000"/>
      <w:sz w:val="19"/>
    </w:rPr>
  </w:style>
  <w:style w:type="paragraph" w:customStyle="1" w:styleId="04FOOTER">
    <w:name w:val="04_FOOTER"/>
    <w:basedOn w:val="Normal"/>
    <w:rsid w:val="002D4316"/>
    <w:pPr>
      <w:spacing w:line="160" w:lineRule="exact"/>
    </w:pPr>
    <w:rPr>
      <w:sz w:val="15"/>
    </w:rPr>
  </w:style>
  <w:style w:type="character" w:customStyle="1" w:styleId="05FOOTERBOLD">
    <w:name w:val="05_FOOTER_BOLD"/>
    <w:rsid w:val="005570E2"/>
    <w:rPr>
      <w:rFonts w:ascii="Arial" w:hAnsi="Arial"/>
      <w:b/>
      <w:color w:val="000000"/>
      <w:w w:val="100"/>
      <w:sz w:val="15"/>
      <w:u w:val="none"/>
    </w:rPr>
  </w:style>
  <w:style w:type="character" w:styleId="Hipervnculo">
    <w:name w:val="Hyperlink"/>
    <w:uiPriority w:val="99"/>
    <w:unhideWhenUsed/>
    <w:rsid w:val="003F2CD9"/>
    <w:rPr>
      <w:color w:val="0000FF"/>
      <w:u w:val="single"/>
    </w:rPr>
  </w:style>
  <w:style w:type="paragraph" w:customStyle="1" w:styleId="03INTESTAZIONEITALIC">
    <w:name w:val="03 INTESTAZIONE ITALIC"/>
    <w:basedOn w:val="03INTESTAZIONE"/>
    <w:rsid w:val="005570E2"/>
    <w:rPr>
      <w:i/>
    </w:rPr>
  </w:style>
  <w:style w:type="paragraph" w:customStyle="1" w:styleId="03INTESTAZIONEBOLD">
    <w:name w:val="03 INTESTAZIONE BOLD"/>
    <w:basedOn w:val="03INTESTAZIONE"/>
    <w:rsid w:val="00C5169B"/>
    <w:rPr>
      <w:b/>
    </w:rPr>
  </w:style>
  <w:style w:type="character" w:customStyle="1" w:styleId="03INTESTAZIONEITALIC2">
    <w:name w:val="03 INTESTAZIONE ITALIC 2"/>
    <w:rsid w:val="00E46E7A"/>
    <w:rPr>
      <w:rFonts w:ascii="Arial" w:hAnsi="Arial"/>
      <w:i/>
      <w:sz w:val="16"/>
      <w:szCs w:val="16"/>
    </w:rPr>
  </w:style>
  <w:style w:type="table" w:styleId="Tablaconcuadrcula">
    <w:name w:val="Table Grid"/>
    <w:aliases w:val="PIEDINO"/>
    <w:basedOn w:val="Tablanormal"/>
    <w:uiPriority w:val="59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character" w:customStyle="1" w:styleId="03INTESTAZIONEBOLD2">
    <w:name w:val="03 INTESTAZIONE BOLD 2"/>
    <w:rsid w:val="00C7201A"/>
    <w:rPr>
      <w:rFonts w:ascii="Arial" w:hAnsi="Arial"/>
      <w:b/>
      <w:sz w:val="16"/>
    </w:rPr>
  </w:style>
  <w:style w:type="character" w:customStyle="1" w:styleId="hps">
    <w:name w:val="hps"/>
    <w:basedOn w:val="Fuentedeprrafopredeter"/>
    <w:rsid w:val="00EA46C6"/>
  </w:style>
  <w:style w:type="paragraph" w:customStyle="1" w:styleId="Boilerplate">
    <w:name w:val="Boilerplate"/>
    <w:basedOn w:val="Normal"/>
    <w:uiPriority w:val="99"/>
    <w:rsid w:val="001A6607"/>
    <w:pPr>
      <w:spacing w:line="240" w:lineRule="auto"/>
    </w:pPr>
    <w:rPr>
      <w:rFonts w:eastAsia="Times"/>
      <w:i/>
      <w:color w:val="auto"/>
      <w:sz w:val="14"/>
      <w:lang w:val="en-GB" w:eastAsia="en-US"/>
    </w:rPr>
  </w:style>
  <w:style w:type="paragraph" w:customStyle="1" w:styleId="style2">
    <w:name w:val="style2"/>
    <w:basedOn w:val="Normal"/>
    <w:uiPriority w:val="99"/>
    <w:rsid w:val="001A6607"/>
    <w:pPr>
      <w:spacing w:before="100" w:beforeAutospacing="1" w:after="100" w:afterAutospacing="1" w:line="240" w:lineRule="auto"/>
    </w:pPr>
    <w:rPr>
      <w:rFonts w:cs="Arial"/>
      <w:sz w:val="18"/>
      <w:szCs w:val="18"/>
      <w:lang w:val="es-ES" w:eastAsia="es-ES"/>
    </w:rPr>
  </w:style>
  <w:style w:type="character" w:styleId="Refdecomentario">
    <w:name w:val="annotation reference"/>
    <w:uiPriority w:val="99"/>
    <w:rsid w:val="006549C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6549C2"/>
    <w:rPr>
      <w:sz w:val="20"/>
    </w:rPr>
  </w:style>
  <w:style w:type="character" w:customStyle="1" w:styleId="TextocomentarioCar">
    <w:name w:val="Texto comentario Car"/>
    <w:link w:val="Textocomentario"/>
    <w:uiPriority w:val="99"/>
    <w:rsid w:val="006549C2"/>
    <w:rPr>
      <w:rFonts w:ascii="Arial" w:hAnsi="Arial"/>
      <w:color w:val="000000"/>
      <w:lang w:val="it-IT" w:eastAsia="it-IT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549C2"/>
    <w:rPr>
      <w:b/>
      <w:bCs/>
    </w:rPr>
  </w:style>
  <w:style w:type="character" w:customStyle="1" w:styleId="AsuntodelcomentarioCar">
    <w:name w:val="Asunto del comentario Car"/>
    <w:link w:val="Asuntodelcomentario"/>
    <w:rsid w:val="006549C2"/>
    <w:rPr>
      <w:rFonts w:ascii="Arial" w:hAnsi="Arial"/>
      <w:b/>
      <w:bCs/>
      <w:color w:val="000000"/>
      <w:lang w:val="it-IT" w:eastAsia="it-IT"/>
    </w:rPr>
  </w:style>
  <w:style w:type="paragraph" w:styleId="Textodeglobo">
    <w:name w:val="Balloon Text"/>
    <w:basedOn w:val="Normal"/>
    <w:link w:val="TextodegloboCar"/>
    <w:rsid w:val="006549C2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6549C2"/>
    <w:rPr>
      <w:rFonts w:ascii="Tahoma" w:hAnsi="Tahoma" w:cs="Tahoma"/>
      <w:color w:val="000000"/>
      <w:sz w:val="16"/>
      <w:szCs w:val="16"/>
      <w:lang w:val="it-IT" w:eastAsia="it-IT"/>
    </w:rPr>
  </w:style>
  <w:style w:type="character" w:styleId="Textoennegrita">
    <w:name w:val="Strong"/>
    <w:uiPriority w:val="22"/>
    <w:qFormat/>
    <w:rsid w:val="00654266"/>
    <w:rPr>
      <w:b/>
      <w:bCs/>
    </w:rPr>
  </w:style>
  <w:style w:type="character" w:styleId="Hipervnculovisitado">
    <w:name w:val="FollowedHyperlink"/>
    <w:rsid w:val="003C1A58"/>
    <w:rPr>
      <w:color w:val="800080"/>
      <w:u w:val="single"/>
    </w:rPr>
  </w:style>
  <w:style w:type="paragraph" w:styleId="Prrafodelista">
    <w:name w:val="List Paragraph"/>
    <w:basedOn w:val="Normal"/>
    <w:uiPriority w:val="72"/>
    <w:rsid w:val="003B68E3"/>
    <w:pPr>
      <w:ind w:left="720"/>
      <w:contextualSpacing/>
    </w:pPr>
  </w:style>
  <w:style w:type="paragraph" w:customStyle="1" w:styleId="ListParagraph1">
    <w:name w:val="List Paragraph1"/>
    <w:basedOn w:val="Normal"/>
    <w:rsid w:val="0046565A"/>
    <w:pPr>
      <w:spacing w:line="240" w:lineRule="auto"/>
      <w:ind w:left="720"/>
      <w:contextualSpacing/>
    </w:pPr>
    <w:rPr>
      <w:rFonts w:ascii="Gill Sans" w:eastAsia="SimSun" w:hAnsi="Gill Sans"/>
      <w:color w:val="auto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9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00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9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1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21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8125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023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082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37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290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6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twitter.com/#!/casece" TargetMode="External"/><Relationship Id="rId18" Type="http://schemas.openxmlformats.org/officeDocument/2006/relationships/image" Target="cid:image003.gif@01D123A8.097F9890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cid:image004.gif@01D123A8.097F9890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image" Target="media/image3.png"/><Relationship Id="rId25" Type="http://schemas.openxmlformats.org/officeDocument/2006/relationships/hyperlink" Target="mailto:nmarti@alarconyharris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user/Caseatwork" TargetMode="External"/><Relationship Id="rId20" Type="http://schemas.openxmlformats.org/officeDocument/2006/relationships/image" Target="media/image4.png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caseconstructionequipment.espana" TargetMode="External"/><Relationship Id="rId24" Type="http://schemas.openxmlformats.org/officeDocument/2006/relationships/hyperlink" Target="http://www.cnhindustrial.com" TargetMode="External"/><Relationship Id="rId5" Type="http://schemas.openxmlformats.org/officeDocument/2006/relationships/settings" Target="settings.xml"/><Relationship Id="rId15" Type="http://schemas.openxmlformats.org/officeDocument/2006/relationships/image" Target="cid:image002.gif@01D123A8.097F9890" TargetMode="External"/><Relationship Id="rId23" Type="http://schemas.openxmlformats.org/officeDocument/2006/relationships/hyperlink" Target="http://www.casece.com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.facebook.com/caseconstructionequipment" TargetMode="External"/><Relationship Id="rId19" Type="http://schemas.openxmlformats.org/officeDocument/2006/relationships/hyperlink" Target="https://www.linkedin.com/company/case-construction-equipment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casecetools.com/press-kit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s://www.facebook.com/caseconstructionequipment.espana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uria\AppData\Local\Microsoft\Windows\Temporary%20Internet%20Files\Content.Outlook\3POTRISZ\Case_Press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0307-27FF-4581-8A9B-7FA051CB8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Case_PressRelease</Template>
  <TotalTime>1</TotalTime>
  <Pages>4</Pages>
  <Words>1292</Words>
  <Characters>7108</Characters>
  <Application>Microsoft Office Word</Application>
  <DocSecurity>0</DocSecurity>
  <Lines>59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Ruvicsa vende excavadora CX210D para uso forestal</vt:lpstr>
      <vt:lpstr>CNH INDUSTRIAL</vt:lpstr>
    </vt:vector>
  </TitlesOfParts>
  <Company>A yH</Company>
  <LinksUpToDate>false</LinksUpToDate>
  <CharactersWithSpaces>8384</CharactersWithSpaces>
  <SharedDoc>false</SharedDoc>
  <HyperlinkBase/>
  <HLinks>
    <vt:vector size="24" baseType="variant">
      <vt:variant>
        <vt:i4>524318</vt:i4>
      </vt:variant>
      <vt:variant>
        <vt:i4>9</vt:i4>
      </vt:variant>
      <vt:variant>
        <vt:i4>0</vt:i4>
      </vt:variant>
      <vt:variant>
        <vt:i4>5</vt:i4>
      </vt:variant>
      <vt:variant>
        <vt:lpwstr>mailto:lynn@tlcpr.co.uk</vt:lpwstr>
      </vt:variant>
      <vt:variant>
        <vt:lpwstr/>
      </vt:variant>
      <vt:variant>
        <vt:i4>4456466</vt:i4>
      </vt:variant>
      <vt:variant>
        <vt:i4>6</vt:i4>
      </vt:variant>
      <vt:variant>
        <vt:i4>0</vt:i4>
      </vt:variant>
      <vt:variant>
        <vt:i4>5</vt:i4>
      </vt:variant>
      <vt:variant>
        <vt:lpwstr>http://www.cnhindustrial.com</vt:lpwstr>
      </vt:variant>
      <vt:variant>
        <vt:lpwstr/>
      </vt:variant>
      <vt:variant>
        <vt:i4>1638463</vt:i4>
      </vt:variant>
      <vt:variant>
        <vt:i4>3</vt:i4>
      </vt:variant>
      <vt:variant>
        <vt:i4>0</vt:i4>
      </vt:variant>
      <vt:variant>
        <vt:i4>5</vt:i4>
      </vt:variant>
      <vt:variant>
        <vt:lpwstr>http://www.CASEce.com</vt:lpwstr>
      </vt:variant>
      <vt:variant>
        <vt:lpwstr/>
      </vt:variant>
      <vt:variant>
        <vt:i4>4653081</vt:i4>
      </vt:variant>
      <vt:variant>
        <vt:i4>0</vt:i4>
      </vt:variant>
      <vt:variant>
        <vt:i4>0</vt:i4>
      </vt:variant>
      <vt:variant>
        <vt:i4>5</vt:i4>
      </vt:variant>
      <vt:variant>
        <vt:lpwstr>http://www.casecetools.com/press-kit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Ruvicsa vende excavadora CX210D para uso forestal</dc:title>
  <dc:creator>Elvira F</dc:creator>
  <cp:lastModifiedBy>Usuario</cp:lastModifiedBy>
  <cp:revision>3</cp:revision>
  <cp:lastPrinted>2013-10-09T08:28:00Z</cp:lastPrinted>
  <dcterms:created xsi:type="dcterms:W3CDTF">2017-02-20T15:00:00Z</dcterms:created>
  <dcterms:modified xsi:type="dcterms:W3CDTF">2017-02-20T15:01:00Z</dcterms:modified>
</cp:coreProperties>
</file>