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BD" w:rsidRPr="00C16DBD" w:rsidRDefault="00BA3F2C" w:rsidP="00513C85">
      <w:pPr>
        <w:rPr>
          <w:b/>
          <w:sz w:val="22"/>
        </w:rPr>
      </w:pPr>
      <w:r w:rsidRPr="00C16DBD">
        <w:rPr>
          <w:b/>
          <w:sz w:val="22"/>
        </w:rPr>
        <w:t>Ruvic</w:t>
      </w:r>
      <w:r w:rsidR="003F73BC">
        <w:rPr>
          <w:b/>
          <w:sz w:val="22"/>
        </w:rPr>
        <w:t>sa sells the First CASE CX210D excavator for use in forestry a</w:t>
      </w:r>
      <w:r w:rsidRPr="00C16DBD">
        <w:rPr>
          <w:b/>
          <w:sz w:val="22"/>
        </w:rPr>
        <w:t>pplications</w:t>
      </w:r>
    </w:p>
    <w:p w:rsidR="00FD493E" w:rsidRPr="00C16DBD" w:rsidRDefault="00FD493E" w:rsidP="00513C85">
      <w:pPr>
        <w:jc w:val="both"/>
      </w:pPr>
    </w:p>
    <w:p w:rsidR="00513C85" w:rsidRPr="00C16DBD" w:rsidRDefault="00513C85" w:rsidP="00513C85">
      <w:pPr>
        <w:pStyle w:val="01TESTO"/>
        <w:jc w:val="both"/>
      </w:pPr>
    </w:p>
    <w:p w:rsidR="00705A49" w:rsidRPr="00C16DBD" w:rsidRDefault="008E14A9" w:rsidP="00513C85">
      <w:pPr>
        <w:pStyle w:val="01TESTO"/>
        <w:jc w:val="both"/>
      </w:pPr>
      <w:r w:rsidRPr="00C16DBD">
        <w:t>Madrid, XX XXX 2017</w:t>
      </w:r>
    </w:p>
    <w:p w:rsidR="00D5520D" w:rsidRPr="00C16DBD" w:rsidRDefault="001B0BB7" w:rsidP="00513C85">
      <w:pPr>
        <w:spacing w:before="100" w:beforeAutospacing="1" w:after="100" w:afterAutospacing="1"/>
        <w:jc w:val="both"/>
        <w:rPr>
          <w:rFonts w:cs="Arial"/>
          <w:szCs w:val="19"/>
        </w:rPr>
      </w:pPr>
      <w:r>
        <w:t>A</w:t>
      </w:r>
      <w:r w:rsidR="00793CC5" w:rsidRPr="00A71B3E">
        <w:t xml:space="preserve"> CASE CX</w:t>
      </w:r>
      <w:r>
        <w:t xml:space="preserve">210D, </w:t>
      </w:r>
      <w:r w:rsidR="003F73BC" w:rsidRPr="00A71B3E">
        <w:t>adapted</w:t>
      </w:r>
      <w:r w:rsidR="00793CC5" w:rsidRPr="00A71B3E">
        <w:t xml:space="preserve"> by </w:t>
      </w:r>
      <w:bookmarkStart w:id="0" w:name="_GoBack"/>
      <w:bookmarkEnd w:id="0"/>
      <w:r w:rsidR="00793CC5" w:rsidRPr="00A71B3E">
        <w:t xml:space="preserve">Guerra </w:t>
      </w:r>
      <w:r w:rsidR="00166DB0" w:rsidRPr="00A71B3E">
        <w:t xml:space="preserve">Industries </w:t>
      </w:r>
      <w:r w:rsidR="00793CC5" w:rsidRPr="00A71B3E">
        <w:t xml:space="preserve">and purchased by </w:t>
      </w:r>
      <w:proofErr w:type="spellStart"/>
      <w:r w:rsidR="00793CC5" w:rsidRPr="00A71B3E">
        <w:t>Mad</w:t>
      </w:r>
      <w:r w:rsidR="00F95598" w:rsidRPr="00A71B3E">
        <w:t>eras</w:t>
      </w:r>
      <w:proofErr w:type="spellEnd"/>
      <w:r w:rsidR="00F95598" w:rsidRPr="00A71B3E">
        <w:t xml:space="preserve"> Luis Méndez, S.L., will be </w:t>
      </w:r>
      <w:r w:rsidR="00793CC5" w:rsidRPr="00A71B3E">
        <w:t>use</w:t>
      </w:r>
      <w:r w:rsidR="00A71B3E" w:rsidRPr="00A71B3E">
        <w:t xml:space="preserve">d to process eucalyptus timber, </w:t>
      </w:r>
      <w:r w:rsidR="00F95598" w:rsidRPr="00A71B3E">
        <w:t>and</w:t>
      </w:r>
      <w:r w:rsidR="003F73BC" w:rsidRPr="00A71B3E">
        <w:t xml:space="preserve"> clear and widen forest tracks</w:t>
      </w:r>
      <w:r w:rsidR="00F95598" w:rsidRPr="00A71B3E">
        <w:t xml:space="preserve"> in</w:t>
      </w:r>
      <w:r w:rsidR="005F49FC" w:rsidRPr="00A71B3E">
        <w:t xml:space="preserve"> Asturias and Galicia, </w:t>
      </w:r>
      <w:r w:rsidR="001070AB" w:rsidRPr="00A71B3E">
        <w:t>North</w:t>
      </w:r>
      <w:r w:rsidR="005F49FC" w:rsidRPr="00A71B3E">
        <w:t xml:space="preserve">ern </w:t>
      </w:r>
      <w:r w:rsidR="00F95598" w:rsidRPr="00A71B3E">
        <w:t>Spa</w:t>
      </w:r>
      <w:r w:rsidR="001070AB" w:rsidRPr="00A71B3E">
        <w:t>in</w:t>
      </w:r>
      <w:r w:rsidR="00F95598" w:rsidRPr="00A71B3E">
        <w:t>.</w:t>
      </w:r>
    </w:p>
    <w:p w:rsidR="00C16DBD" w:rsidRPr="00C16DBD" w:rsidRDefault="00011ABA" w:rsidP="00513C85">
      <w:pPr>
        <w:jc w:val="both"/>
      </w:pPr>
      <w:proofErr w:type="spellStart"/>
      <w:r w:rsidRPr="00C16DBD">
        <w:t>Ruvicsa</w:t>
      </w:r>
      <w:proofErr w:type="spellEnd"/>
      <w:r w:rsidRPr="00C16DBD">
        <w:t>, CASE distrib</w:t>
      </w:r>
      <w:r w:rsidR="0059437D">
        <w:t>utor for Asturias and Cantabria</w:t>
      </w:r>
      <w:r w:rsidRPr="00C16DBD">
        <w:t xml:space="preserve"> has sold the first CASE CX210 D-series crawler excavator adapted for use in forestry applications in Spain to </w:t>
      </w:r>
      <w:proofErr w:type="spellStart"/>
      <w:r w:rsidRPr="00C16DBD">
        <w:t>Maderas</w:t>
      </w:r>
      <w:proofErr w:type="spellEnd"/>
      <w:r w:rsidRPr="00C16DBD">
        <w:t xml:space="preserve"> Luis Mé</w:t>
      </w:r>
      <w:r w:rsidR="00F95598">
        <w:t xml:space="preserve">ndez, S.L. Servicios </w:t>
      </w:r>
      <w:proofErr w:type="spellStart"/>
      <w:r w:rsidR="00F95598">
        <w:t>Forestales</w:t>
      </w:r>
      <w:proofErr w:type="spellEnd"/>
      <w:r w:rsidR="00F95598">
        <w:t>.</w:t>
      </w:r>
      <w:r w:rsidRPr="00C16DBD">
        <w:t xml:space="preserve"> With </w:t>
      </w:r>
      <w:r w:rsidR="00F95598">
        <w:t>a head office</w:t>
      </w:r>
      <w:r w:rsidRPr="00C16DBD">
        <w:t xml:space="preserve"> in </w:t>
      </w:r>
      <w:proofErr w:type="spellStart"/>
      <w:r w:rsidRPr="00C16DBD">
        <w:t>Vegadeo</w:t>
      </w:r>
      <w:proofErr w:type="spellEnd"/>
      <w:r w:rsidRPr="00C16DBD">
        <w:t xml:space="preserve"> (Asturias),</w:t>
      </w:r>
      <w:r w:rsidR="0059437D">
        <w:t xml:space="preserve"> the company has had a worked</w:t>
      </w:r>
      <w:r w:rsidRPr="00C16DBD">
        <w:t xml:space="preserve"> with </w:t>
      </w:r>
      <w:proofErr w:type="spellStart"/>
      <w:r w:rsidRPr="00C16DBD">
        <w:t>Ruvicsa</w:t>
      </w:r>
      <w:proofErr w:type="spellEnd"/>
      <w:r w:rsidRPr="00C16DBD">
        <w:t xml:space="preserve"> since 2005. Its main business involves tim</w:t>
      </w:r>
      <w:r w:rsidR="001B0BB7">
        <w:t>b</w:t>
      </w:r>
      <w:r w:rsidRPr="00C16DBD">
        <w:t>er farming (60,000</w:t>
      </w:r>
      <w:r w:rsidR="00C16DBD">
        <w:t> </w:t>
      </w:r>
      <w:r w:rsidRPr="00C16DBD">
        <w:t>t</w:t>
      </w:r>
      <w:r w:rsidR="0059437D">
        <w:t>onne per year</w:t>
      </w:r>
      <w:r w:rsidRPr="00C16DBD">
        <w:t>) for the production of cellulose. T</w:t>
      </w:r>
      <w:r w:rsidR="00647941">
        <w:t xml:space="preserve">he company is also expanding </w:t>
      </w:r>
      <w:r w:rsidR="00647941" w:rsidRPr="00C16DBD">
        <w:t>international</w:t>
      </w:r>
      <w:r w:rsidR="00647941">
        <w:t xml:space="preserve">ly by </w:t>
      </w:r>
      <w:r w:rsidRPr="00C16DBD">
        <w:t>export</w:t>
      </w:r>
      <w:r w:rsidR="00647941">
        <w:t>ing timber and wood chip.</w:t>
      </w:r>
    </w:p>
    <w:p w:rsidR="00976956" w:rsidRPr="00C16DBD" w:rsidRDefault="001F4510" w:rsidP="00513C85">
      <w:pPr>
        <w:spacing w:before="100" w:beforeAutospacing="1" w:after="100" w:afterAutospacing="1"/>
        <w:jc w:val="both"/>
        <w:rPr>
          <w:rFonts w:cs="Arial"/>
          <w:szCs w:val="19"/>
        </w:rPr>
      </w:pPr>
      <w:r w:rsidRPr="00C16DBD">
        <w:t>Jose Luis Ruiz Fernández, CEO of Ruvicsa, explains its client</w:t>
      </w:r>
      <w:r w:rsidR="00C16DBD" w:rsidRPr="00C16DBD">
        <w:t>’</w:t>
      </w:r>
      <w:r w:rsidRPr="00C16DBD">
        <w:t xml:space="preserve">s requirements and why the CASE CX210D was the ideal choice: </w:t>
      </w:r>
      <w:r w:rsidR="00C16DBD" w:rsidRPr="00C16DBD">
        <w:t>“</w:t>
      </w:r>
      <w:r w:rsidRPr="00C16DBD">
        <w:t>The forestry industry requires a reliable machine that can guarantee excellent performance with low cons</w:t>
      </w:r>
      <w:r w:rsidR="00647941">
        <w:t>umption. Particularly important</w:t>
      </w:r>
      <w:r w:rsidRPr="00C16DBD">
        <w:t xml:space="preserve"> in this excavator is the great </w:t>
      </w:r>
      <w:r w:rsidR="00647941">
        <w:t xml:space="preserve">advantage </w:t>
      </w:r>
      <w:r w:rsidRPr="00C16DBD">
        <w:t>of its AdBlue system (it only needs to be added every 5 stops for refuelling)</w:t>
      </w:r>
      <w:r w:rsidR="0098625D">
        <w:t>.”</w:t>
      </w:r>
    </w:p>
    <w:p w:rsidR="0062038E" w:rsidRPr="0098625D" w:rsidRDefault="00C16DBD" w:rsidP="00513C85">
      <w:pPr>
        <w:spacing w:before="100" w:beforeAutospacing="1" w:after="100" w:afterAutospacing="1" w:line="360" w:lineRule="auto"/>
        <w:jc w:val="both"/>
        <w:rPr>
          <w:color w:val="auto"/>
        </w:rPr>
      </w:pPr>
      <w:r w:rsidRPr="00C16DBD">
        <w:t>“</w:t>
      </w:r>
      <w:r w:rsidR="00647941">
        <w:t xml:space="preserve">It also </w:t>
      </w:r>
      <w:r w:rsidR="0062038E" w:rsidRPr="00C16DBD">
        <w:t>has another two important characteri</w:t>
      </w:r>
      <w:r w:rsidR="0098625D">
        <w:t>stics for forestry applications</w:t>
      </w:r>
      <w:r w:rsidR="00647941">
        <w:t xml:space="preserve"> which helped the client</w:t>
      </w:r>
      <w:r w:rsidR="0062038E" w:rsidRPr="00C16DBD">
        <w:t xml:space="preserve"> decide on the purchase.</w:t>
      </w:r>
      <w:r w:rsidR="0098625D">
        <w:t xml:space="preserve"> The first is,</w:t>
      </w:r>
      <w:r w:rsidR="0062038E" w:rsidRPr="00C16DBD">
        <w:t xml:space="preserve"> two diesel filters (one 2-micro and another 7-micron filter)</w:t>
      </w:r>
      <w:r w:rsidR="00F95598">
        <w:t>,</w:t>
      </w:r>
      <w:r w:rsidR="0062038E" w:rsidRPr="00C16DBD">
        <w:t xml:space="preserve"> </w:t>
      </w:r>
      <w:r w:rsidR="0062038E" w:rsidRPr="0098625D">
        <w:rPr>
          <w:color w:val="auto"/>
        </w:rPr>
        <w:t>with a fuel settling tank and an in-cab water warning sens</w:t>
      </w:r>
      <w:r w:rsidR="0059437D">
        <w:rPr>
          <w:color w:val="auto"/>
        </w:rPr>
        <w:t xml:space="preserve">or </w:t>
      </w:r>
      <w:r w:rsidR="0062038E" w:rsidRPr="00C16DBD">
        <w:t>which is essential to tackle the injection problems that often arise in this type of application due to the water.</w:t>
      </w:r>
      <w:r w:rsidR="0098625D">
        <w:t xml:space="preserve"> Secondly, </w:t>
      </w:r>
      <w:r w:rsidR="0062038E" w:rsidRPr="00C16DBD">
        <w:t>the overlapping layout of the radiators allows for easier cleaning.</w:t>
      </w:r>
      <w:r w:rsidR="0098625D">
        <w:t>”</w:t>
      </w:r>
    </w:p>
    <w:p w:rsidR="00976956" w:rsidRPr="00C16DBD" w:rsidRDefault="00166DB0" w:rsidP="00513C85">
      <w:pPr>
        <w:spacing w:before="100" w:beforeAutospacing="1" w:after="100" w:afterAutospacing="1" w:line="360" w:lineRule="auto"/>
        <w:jc w:val="both"/>
        <w:rPr>
          <w:rFonts w:cs="Arial"/>
          <w:szCs w:val="19"/>
        </w:rPr>
      </w:pPr>
      <w:r>
        <w:t>T</w:t>
      </w:r>
      <w:r w:rsidR="0062038E" w:rsidRPr="00C16DBD">
        <w:t>he advantages of the CASE CX210D over other excavators of the same cap</w:t>
      </w:r>
      <w:r w:rsidR="00647941">
        <w:t>acity and weight are very clear.</w:t>
      </w:r>
      <w:r w:rsidR="0062038E" w:rsidRPr="00C16DBD">
        <w:t xml:space="preserve"> The reliabilit</w:t>
      </w:r>
      <w:r w:rsidR="00F95598">
        <w:t>y and quality of the</w:t>
      </w:r>
      <w:r w:rsidR="00647941">
        <w:t xml:space="preserve"> product is guaranteed and it’s</w:t>
      </w:r>
      <w:r w:rsidR="00F95598">
        <w:t xml:space="preserve"> more economical</w:t>
      </w:r>
      <w:r w:rsidR="0062038E" w:rsidRPr="00C16DBD">
        <w:t xml:space="preserve"> to maintain because it does not use a diesel particulate filter (DPF) system. Fuel consumption is lower than those using DPF and AdBlue, and the overheating problems that may arise du</w:t>
      </w:r>
      <w:r w:rsidR="0059437D">
        <w:t>e to the high temperature of a</w:t>
      </w:r>
      <w:r w:rsidR="0062038E" w:rsidRPr="00C16DBD">
        <w:t xml:space="preserve"> DPF system are avoided</w:t>
      </w:r>
      <w:r>
        <w:t>.</w:t>
      </w:r>
    </w:p>
    <w:p w:rsidR="00345C07" w:rsidRPr="00C16DBD" w:rsidRDefault="00C16DBD" w:rsidP="00513C85">
      <w:pPr>
        <w:spacing w:before="100" w:beforeAutospacing="1" w:after="100" w:afterAutospacing="1"/>
        <w:jc w:val="both"/>
        <w:rPr>
          <w:rFonts w:cs="Arial"/>
          <w:szCs w:val="19"/>
        </w:rPr>
      </w:pPr>
      <w:r>
        <w:t>O</w:t>
      </w:r>
      <w:r w:rsidR="00345C07" w:rsidRPr="00C16DBD">
        <w:t xml:space="preserve">ther significant </w:t>
      </w:r>
      <w:r w:rsidR="0098625D">
        <w:t>characteristics of the CX Series</w:t>
      </w:r>
      <w:r w:rsidR="00345C07" w:rsidRPr="00C16DBD">
        <w:t xml:space="preserve"> crawler excavators</w:t>
      </w:r>
      <w:r w:rsidR="00F95598">
        <w:t xml:space="preserve"> include</w:t>
      </w:r>
      <w:r w:rsidR="0098625D">
        <w:t>s</w:t>
      </w:r>
      <w:r w:rsidR="00F95598">
        <w:t xml:space="preserve">, </w:t>
      </w:r>
      <w:r w:rsidR="00345C07" w:rsidRPr="00C16DBD">
        <w:t>the 5 energy-saving controls: torque control, boom economy control (BEC), swing relief control (SWC), spool stroke control (SSC) and automatic idle and engine shut-down functions.</w:t>
      </w:r>
    </w:p>
    <w:p w:rsidR="00976956" w:rsidRPr="00C16DBD" w:rsidRDefault="005A036C" w:rsidP="00513C85">
      <w:pPr>
        <w:spacing w:before="100" w:beforeAutospacing="1" w:after="100" w:afterAutospacing="1"/>
        <w:jc w:val="both"/>
        <w:rPr>
          <w:rFonts w:cs="Arial"/>
          <w:szCs w:val="19"/>
        </w:rPr>
      </w:pPr>
      <w:r>
        <w:lastRenderedPageBreak/>
        <w:t>Ruiz Fernández</w:t>
      </w:r>
      <w:r w:rsidR="00166DB0">
        <w:t xml:space="preserve"> highlights o</w:t>
      </w:r>
      <w:r w:rsidR="00166DB0" w:rsidRPr="00C16DBD">
        <w:t>ther important advantages of the CX210D</w:t>
      </w:r>
      <w:r w:rsidR="00166DB0">
        <w:t>:</w:t>
      </w:r>
      <w:r w:rsidR="00AE2A60" w:rsidRPr="00C16DBD">
        <w:t xml:space="preserve"> </w:t>
      </w:r>
      <w:r w:rsidR="00C16DBD" w:rsidRPr="00C16DBD">
        <w:t>“</w:t>
      </w:r>
      <w:r w:rsidR="00AE2A60" w:rsidRPr="00C16DBD">
        <w:t>This excavator offers extensive visibility</w:t>
      </w:r>
      <w:r w:rsidR="00166DB0">
        <w:t>, which is not the case with</w:t>
      </w:r>
      <w:r w:rsidR="00AE2A60" w:rsidRPr="00C16DBD">
        <w:t xml:space="preserve"> </w:t>
      </w:r>
      <w:r w:rsidR="00166DB0">
        <w:t xml:space="preserve">our </w:t>
      </w:r>
      <w:r w:rsidR="0059437D">
        <w:t>competitors machines,</w:t>
      </w:r>
      <w:r w:rsidR="00AE2A60" w:rsidRPr="00C16DBD">
        <w:t xml:space="preserve"> most of whom can only guarantee rear visibility with a camera because</w:t>
      </w:r>
      <w:r w:rsidR="00166DB0">
        <w:t xml:space="preserve"> there is no </w:t>
      </w:r>
      <w:r w:rsidR="00AE2A60" w:rsidRPr="00C16DBD">
        <w:t>visibility through the rear window. The cab is spacious and one of the largest in the market. Level II FOPS protection</w:t>
      </w:r>
      <w:r>
        <w:t xml:space="preserve"> is standard... Without a doubt</w:t>
      </w:r>
      <w:r w:rsidR="00AE2A60" w:rsidRPr="00C16DBD">
        <w:t>, its price-quality ratio makes it the most competitive machine in the market at present.</w:t>
      </w:r>
      <w:r>
        <w:t>”</w:t>
      </w:r>
    </w:p>
    <w:p w:rsidR="0062038E" w:rsidRPr="00C16DBD" w:rsidRDefault="006E3DF8" w:rsidP="00513C85">
      <w:pPr>
        <w:spacing w:before="100" w:beforeAutospacing="1" w:after="100" w:afterAutospacing="1"/>
        <w:jc w:val="both"/>
        <w:rPr>
          <w:rFonts w:cs="Arial"/>
          <w:szCs w:val="19"/>
        </w:rPr>
      </w:pPr>
      <w:r w:rsidRPr="00C16DBD">
        <w:t xml:space="preserve">The head of </w:t>
      </w:r>
      <w:proofErr w:type="spellStart"/>
      <w:r w:rsidRPr="00C16DBD">
        <w:t>Maderas</w:t>
      </w:r>
      <w:proofErr w:type="spellEnd"/>
      <w:r w:rsidRPr="00C16DBD">
        <w:t xml:space="preserve"> Luis Méndez, Alejandro Méndez </w:t>
      </w:r>
      <w:proofErr w:type="spellStart"/>
      <w:r w:rsidR="0098625D">
        <w:t>Cotarelo</w:t>
      </w:r>
      <w:proofErr w:type="spellEnd"/>
      <w:r w:rsidR="0098625D">
        <w:t>, concurs</w:t>
      </w:r>
      <w:r w:rsidR="005A036C">
        <w:t xml:space="preserve"> with him on the </w:t>
      </w:r>
      <w:r w:rsidRPr="00C16DBD">
        <w:t xml:space="preserve">reasons for purchasing the CASE CX210D: </w:t>
      </w:r>
      <w:r w:rsidR="00C16DBD" w:rsidRPr="00C16DBD">
        <w:t>“</w:t>
      </w:r>
      <w:r w:rsidR="005A036C">
        <w:t>I</w:t>
      </w:r>
      <w:r w:rsidRPr="00C16DBD">
        <w:t>t is the most suitable machine in ter</w:t>
      </w:r>
      <w:r w:rsidR="0059437D">
        <w:t>ms of its price-quality ratio</w:t>
      </w:r>
      <w:r w:rsidRPr="00C16DBD">
        <w:t xml:space="preserve"> necessary for our work</w:t>
      </w:r>
      <w:r w:rsidR="005A036C">
        <w:t>,</w:t>
      </w:r>
      <w:r w:rsidRPr="00C16DBD">
        <w:t xml:space="preserve"> and perfect to perform the required tasks thanks to its size </w:t>
      </w:r>
      <w:r w:rsidRPr="00A71B3E">
        <w:t xml:space="preserve">and </w:t>
      </w:r>
      <w:r w:rsidR="00A71B3E">
        <w:rPr>
          <w:rFonts w:cs="Arial"/>
          <w:color w:val="303030"/>
          <w:sz w:val="18"/>
          <w:szCs w:val="18"/>
          <w:shd w:val="clear" w:color="auto" w:fill="FFFEEF"/>
        </w:rPr>
        <w:t>throughput</w:t>
      </w:r>
      <w:r w:rsidRPr="00A71B3E">
        <w:t>,</w:t>
      </w:r>
      <w:r w:rsidRPr="00C16DBD">
        <w:t xml:space="preserve"> which primarily include</w:t>
      </w:r>
      <w:r w:rsidR="005A036C">
        <w:t>s</w:t>
      </w:r>
      <w:r w:rsidRPr="00C16DBD">
        <w:t xml:space="preserve"> timber processing in the forest and clearing and widening forest tracks, where required</w:t>
      </w:r>
      <w:r w:rsidR="005A036C">
        <w:t>.”</w:t>
      </w:r>
    </w:p>
    <w:p w:rsidR="005A036C" w:rsidRDefault="006E3DF8" w:rsidP="00513C85">
      <w:pPr>
        <w:spacing w:before="100" w:beforeAutospacing="1" w:after="100" w:afterAutospacing="1"/>
        <w:jc w:val="both"/>
      </w:pPr>
      <w:r w:rsidRPr="00C16DBD">
        <w:t xml:space="preserve">Alejandro Méndez also underlines its </w:t>
      </w:r>
      <w:r w:rsidR="003F73BC">
        <w:t xml:space="preserve">versatility, such as simple </w:t>
      </w:r>
      <w:r w:rsidRPr="00C16DBD">
        <w:t xml:space="preserve">maintenance and easy handling for operators in charge of the machine. </w:t>
      </w:r>
      <w:r w:rsidR="005A036C">
        <w:t>“</w:t>
      </w:r>
      <w:r w:rsidRPr="00C16DBD">
        <w:t>We are extremely happy with the</w:t>
      </w:r>
      <w:r w:rsidR="005A036C">
        <w:t xml:space="preserve"> purchase and the high levels of customer and technical service we receive from Ruvicsa.”</w:t>
      </w:r>
    </w:p>
    <w:p w:rsidR="00AE2A60" w:rsidRPr="00C16DBD" w:rsidRDefault="00464FCF" w:rsidP="00513C85">
      <w:pPr>
        <w:spacing w:before="100" w:beforeAutospacing="1" w:after="100" w:afterAutospacing="1"/>
        <w:jc w:val="both"/>
        <w:rPr>
          <w:rFonts w:cs="Arial"/>
          <w:szCs w:val="19"/>
        </w:rPr>
      </w:pPr>
      <w:r w:rsidRPr="00C16DBD">
        <w:t xml:space="preserve">Jose Luis Ruiz adds: </w:t>
      </w:r>
      <w:r w:rsidR="00C16DBD" w:rsidRPr="00C16DBD">
        <w:t>“</w:t>
      </w:r>
      <w:r w:rsidRPr="00C16DBD">
        <w:t xml:space="preserve">I would like to take this opportunity to thank </w:t>
      </w:r>
      <w:proofErr w:type="spellStart"/>
      <w:r w:rsidRPr="00C16DBD">
        <w:t>Maderas</w:t>
      </w:r>
      <w:proofErr w:type="spellEnd"/>
      <w:r w:rsidRPr="00C16DBD">
        <w:t xml:space="preserve"> Luis Méndez for having chosen us once again and </w:t>
      </w:r>
      <w:r w:rsidR="005A036C">
        <w:t xml:space="preserve">for trusting the quality of </w:t>
      </w:r>
      <w:r w:rsidRPr="00C16DBD">
        <w:t xml:space="preserve">CASE machines and </w:t>
      </w:r>
      <w:proofErr w:type="spellStart"/>
      <w:r w:rsidRPr="00C16DBD">
        <w:t>Ruvicsa</w:t>
      </w:r>
      <w:r w:rsidR="00C16DBD" w:rsidRPr="00C16DBD">
        <w:t>’</w:t>
      </w:r>
      <w:r w:rsidRPr="00C16DBD">
        <w:t>s</w:t>
      </w:r>
      <w:proofErr w:type="spellEnd"/>
      <w:r w:rsidRPr="00C16DBD">
        <w:t xml:space="preserve"> technical service, something that has always set us apart from our competitors</w:t>
      </w:r>
      <w:r w:rsidR="00A71B3E">
        <w:t>.</w:t>
      </w:r>
      <w:r w:rsidR="00C16DBD" w:rsidRPr="00C16DBD">
        <w:t>”</w:t>
      </w:r>
    </w:p>
    <w:p w:rsidR="00513C85" w:rsidRPr="00C16DBD" w:rsidRDefault="009512BB" w:rsidP="00513C85">
      <w:pPr>
        <w:jc w:val="both"/>
        <w:rPr>
          <w:rFonts w:cs="Arial"/>
          <w:b/>
          <w:color w:val="auto"/>
          <w:szCs w:val="19"/>
        </w:rPr>
      </w:pPr>
      <w:r w:rsidRPr="00C16DBD">
        <w:rPr>
          <w:b/>
          <w:color w:val="auto"/>
        </w:rPr>
        <w:t>How the CASE CX210D was adapted for use in forestry applications</w:t>
      </w:r>
    </w:p>
    <w:p w:rsidR="00464FCF" w:rsidRPr="00C16DBD" w:rsidRDefault="00C63CDA" w:rsidP="00513C85">
      <w:pPr>
        <w:jc w:val="both"/>
      </w:pPr>
      <w:r>
        <w:t xml:space="preserve">The harvesting equipment fitted </w:t>
      </w:r>
      <w:r w:rsidRPr="00C63CDA">
        <w:rPr>
          <w:color w:val="auto"/>
        </w:rPr>
        <w:t xml:space="preserve">to </w:t>
      </w:r>
      <w:r w:rsidR="00464FCF" w:rsidRPr="00C16DBD">
        <w:t xml:space="preserve">the CASE CX210D excavator </w:t>
      </w:r>
      <w:r w:rsidR="005A036C">
        <w:t xml:space="preserve">and </w:t>
      </w:r>
      <w:r w:rsidR="005F49FC">
        <w:t>adapted for use in forestry</w:t>
      </w:r>
      <w:r w:rsidR="00464FCF" w:rsidRPr="00C16DBD">
        <w:t xml:space="preserve"> applications</w:t>
      </w:r>
      <w:r w:rsidR="005F49FC">
        <w:t>,</w:t>
      </w:r>
      <w:r w:rsidR="00464FCF" w:rsidRPr="00C16DBD">
        <w:t xml:space="preserve"> and the </w:t>
      </w:r>
      <w:r w:rsidR="005F49FC">
        <w:t>IGSA 680A harvesting head will be used for</w:t>
      </w:r>
      <w:r w:rsidR="00464FCF" w:rsidRPr="00C16DBD">
        <w:t xml:space="preserve"> shoring, bark-stripping, branch-stripping and cutting tasks</w:t>
      </w:r>
      <w:r w:rsidR="001070AB">
        <w:t xml:space="preserve">. </w:t>
      </w:r>
      <w:r w:rsidR="001070AB" w:rsidRPr="00A71B3E">
        <w:t xml:space="preserve">The machine </w:t>
      </w:r>
      <w:r w:rsidR="00464FCF" w:rsidRPr="00A71B3E">
        <w:t>can</w:t>
      </w:r>
      <w:r w:rsidR="005F49FC" w:rsidRPr="00A71B3E">
        <w:t xml:space="preserve"> also</w:t>
      </w:r>
      <w:r w:rsidR="00464FCF" w:rsidRPr="00A71B3E">
        <w:rPr>
          <w:color w:val="0070C0"/>
        </w:rPr>
        <w:t xml:space="preserve"> </w:t>
      </w:r>
      <w:r w:rsidRPr="00A71B3E">
        <w:rPr>
          <w:color w:val="auto"/>
        </w:rPr>
        <w:t>sort</w:t>
      </w:r>
      <w:r w:rsidR="00464FCF" w:rsidRPr="00A71B3E">
        <w:rPr>
          <w:color w:val="FF0000"/>
        </w:rPr>
        <w:t xml:space="preserve"> </w:t>
      </w:r>
      <w:r w:rsidR="00464FCF" w:rsidRPr="00A71B3E">
        <w:t xml:space="preserve">the cut timber </w:t>
      </w:r>
      <w:r w:rsidR="001070AB" w:rsidRPr="00A71B3E">
        <w:t>either by</w:t>
      </w:r>
      <w:r w:rsidR="00464FCF" w:rsidRPr="00A71B3E">
        <w:t xml:space="preserve"> diameter</w:t>
      </w:r>
      <w:r w:rsidR="001070AB" w:rsidRPr="00A71B3E">
        <w:t xml:space="preserve"> </w:t>
      </w:r>
      <w:r w:rsidR="005F49FC" w:rsidRPr="00A71B3E">
        <w:t xml:space="preserve">or length, plus </w:t>
      </w:r>
      <w:r w:rsidR="00464FCF" w:rsidRPr="00A71B3E">
        <w:t>the harvesting equipment can replace the harvesting head with a bucket, leaving the CASE CX210D ready for forest tr</w:t>
      </w:r>
      <w:r w:rsidR="00E26EA0" w:rsidRPr="00A71B3E">
        <w:t xml:space="preserve">ail </w:t>
      </w:r>
      <w:r w:rsidR="00464FCF" w:rsidRPr="00A71B3E">
        <w:t>and path</w:t>
      </w:r>
      <w:r w:rsidR="00E26EA0" w:rsidRPr="00A71B3E">
        <w:t xml:space="preserve"> widening or other improvements</w:t>
      </w:r>
      <w:r w:rsidR="00464FCF" w:rsidRPr="00A71B3E">
        <w:t>.</w:t>
      </w:r>
    </w:p>
    <w:p w:rsidR="00F72F3A" w:rsidRPr="00C16DBD" w:rsidRDefault="00C63CDA" w:rsidP="00513C85">
      <w:pPr>
        <w:spacing w:before="100" w:beforeAutospacing="1" w:after="100" w:afterAutospacing="1"/>
        <w:jc w:val="both"/>
      </w:pPr>
      <w:r>
        <w:t>Based in Vila de Cruces (</w:t>
      </w:r>
      <w:proofErr w:type="spellStart"/>
      <w:r>
        <w:t>Pontevedra</w:t>
      </w:r>
      <w:proofErr w:type="spellEnd"/>
      <w:r>
        <w:t>),</w:t>
      </w:r>
      <w:r w:rsidRPr="00C63CDA">
        <w:t xml:space="preserve"> </w:t>
      </w:r>
      <w:r w:rsidRPr="00C16DBD">
        <w:t>Guerra</w:t>
      </w:r>
      <w:r>
        <w:t xml:space="preserve"> </w:t>
      </w:r>
      <w:r w:rsidRPr="00C16DBD">
        <w:t>Industries</w:t>
      </w:r>
      <w:r w:rsidR="00345C07" w:rsidRPr="00C16DBD">
        <w:t xml:space="preserve">, </w:t>
      </w:r>
      <w:r>
        <w:t>are one</w:t>
      </w:r>
      <w:r w:rsidR="00345C07" w:rsidRPr="00C16DBD">
        <w:t xml:space="preserve"> </w:t>
      </w:r>
      <w:r>
        <w:t>Spain’s leading</w:t>
      </w:r>
      <w:r w:rsidR="00345C07" w:rsidRPr="00C16DBD">
        <w:t xml:space="preserve"> </w:t>
      </w:r>
      <w:r>
        <w:t>manufacturers of forestry and marine booms, and have</w:t>
      </w:r>
      <w:r w:rsidR="00345C07" w:rsidRPr="00C16DBD">
        <w:t xml:space="preserve"> </w:t>
      </w:r>
      <w:r>
        <w:t xml:space="preserve">more than </w:t>
      </w:r>
      <w:r w:rsidR="00345C07" w:rsidRPr="00C16DBD">
        <w:t xml:space="preserve">65 years </w:t>
      </w:r>
      <w:r>
        <w:t>of experience in this sector. They have made</w:t>
      </w:r>
      <w:r w:rsidR="00345C07" w:rsidRPr="00C16DBD">
        <w:t xml:space="preserve"> the necessary adaptations to the CASE CX210D for its use</w:t>
      </w:r>
      <w:r w:rsidR="0059437D">
        <w:t xml:space="preserve"> in forestry applications, complying</w:t>
      </w:r>
      <w:r w:rsidR="00345C07" w:rsidRPr="00C16DBD">
        <w:t xml:space="preserve"> with the 2006/42 </w:t>
      </w:r>
      <w:r w:rsidR="0059437D">
        <w:t>Machinery Directive with regard</w:t>
      </w:r>
      <w:r w:rsidR="00345C07" w:rsidRPr="00C16DBD">
        <w:t xml:space="preserve"> to changes in the use of the machine from construction to forestry applications, which in this case involved producing an approved cab protection structure.</w:t>
      </w:r>
    </w:p>
    <w:p w:rsidR="00C16DBD" w:rsidRPr="00C16DBD" w:rsidRDefault="00C16DBD" w:rsidP="00513C85">
      <w:pPr>
        <w:jc w:val="both"/>
      </w:pPr>
      <w:r w:rsidRPr="00C16DBD">
        <w:t>“</w:t>
      </w:r>
      <w:r w:rsidR="00F72F3A" w:rsidRPr="00C16DBD">
        <w:t xml:space="preserve">Given the technical requirements for working with the IGSA 680A harvesting head, the basic machine must include a hydraulic outlet for the hammer </w:t>
      </w:r>
      <w:r w:rsidR="001B0BB7">
        <w:t>and all of the ducts, plus</w:t>
      </w:r>
      <w:r w:rsidR="00F72F3A" w:rsidRPr="00C16DBD">
        <w:t xml:space="preserve"> a suitable rotary joint for installing a bulldozer blade</w:t>
      </w:r>
      <w:r w:rsidR="008E571C">
        <w:t>,</w:t>
      </w:r>
      <w:r w:rsidRPr="00C16DBD">
        <w:t>”</w:t>
      </w:r>
      <w:r w:rsidR="00F72F3A" w:rsidRPr="00C16DBD">
        <w:t xml:space="preserve"> explains Robe</w:t>
      </w:r>
      <w:r w:rsidR="008E571C">
        <w:t xml:space="preserve">rto García </w:t>
      </w:r>
      <w:proofErr w:type="spellStart"/>
      <w:r w:rsidR="008E571C">
        <w:t>Carreiras</w:t>
      </w:r>
      <w:proofErr w:type="spellEnd"/>
      <w:r w:rsidR="008E571C">
        <w:t>, from the sales d</w:t>
      </w:r>
      <w:r w:rsidR="00F72F3A" w:rsidRPr="00C16DBD">
        <w:t xml:space="preserve">epartment at </w:t>
      </w:r>
      <w:r w:rsidR="008E571C" w:rsidRPr="00C16DBD">
        <w:t>Guerra Industries</w:t>
      </w:r>
      <w:r w:rsidR="00F72F3A" w:rsidRPr="00C16DBD">
        <w:t>.</w:t>
      </w:r>
      <w:r w:rsidR="008E571C" w:rsidRPr="008E571C">
        <w:t xml:space="preserve"> </w:t>
      </w:r>
    </w:p>
    <w:p w:rsidR="00F72F3A" w:rsidRPr="00C16DBD" w:rsidRDefault="00F72F3A" w:rsidP="00513C85">
      <w:pPr>
        <w:jc w:val="both"/>
      </w:pPr>
    </w:p>
    <w:p w:rsidR="00F72F3A" w:rsidRPr="00C16DBD" w:rsidRDefault="00C16DBD" w:rsidP="00513C85">
      <w:pPr>
        <w:jc w:val="both"/>
      </w:pPr>
      <w:r w:rsidRPr="00C16DBD">
        <w:t>“</w:t>
      </w:r>
      <w:r w:rsidR="00F72F3A" w:rsidRPr="00C16DBD">
        <w:t>The client usually requires forestry guards on the excavator to protect it from</w:t>
      </w:r>
      <w:r w:rsidR="008E571C">
        <w:t xml:space="preserve"> the impact of</w:t>
      </w:r>
      <w:r w:rsidR="00F72F3A" w:rsidRPr="00C16DBD">
        <w:t xml:space="preserve"> falling trees, branches, etc. The rear doors of the machine are therefore replaced with similar ones, bu</w:t>
      </w:r>
      <w:r w:rsidR="001B0BB7">
        <w:t>t made of a thicker sheet metal.  A</w:t>
      </w:r>
      <w:r w:rsidR="00F72F3A" w:rsidRPr="00C16DBD">
        <w:t xml:space="preserve"> protective structure is built over the excavator</w:t>
      </w:r>
      <w:r w:rsidRPr="00C16DBD">
        <w:t>’</w:t>
      </w:r>
      <w:r w:rsidR="00F72F3A" w:rsidRPr="00C16DBD">
        <w:t>s engine, the sides of the machin</w:t>
      </w:r>
      <w:r w:rsidR="008E571C">
        <w:t>e are protected to avoid impact</w:t>
      </w:r>
      <w:r w:rsidR="00F72F3A" w:rsidRPr="00C16DBD">
        <w:t xml:space="preserve"> from branches or stones and the undercarriage is protected. Furthermore, long guide rails or skids are installed to prevent the crawlers/tracks of the excavator from coming free and elevated track show for easier traction in the forest</w:t>
      </w:r>
      <w:r w:rsidR="008E571C">
        <w:t>.</w:t>
      </w:r>
      <w:r w:rsidRPr="00C16DBD">
        <w:t>”</w:t>
      </w:r>
    </w:p>
    <w:p w:rsidR="00F72F3A" w:rsidRPr="00C16DBD" w:rsidRDefault="00C16DBD" w:rsidP="00513C85">
      <w:pPr>
        <w:spacing w:before="100" w:beforeAutospacing="1" w:after="100" w:afterAutospacing="1"/>
        <w:jc w:val="both"/>
      </w:pPr>
      <w:r w:rsidRPr="00C16DBD">
        <w:t>“</w:t>
      </w:r>
      <w:r w:rsidR="00464FCF" w:rsidRPr="00C16DBD">
        <w:t>Lastly, for efficie</w:t>
      </w:r>
      <w:r w:rsidR="001B0BB7">
        <w:t>ncy and safety purposes</w:t>
      </w:r>
      <w:r w:rsidR="00464FCF" w:rsidRPr="00C16DBD">
        <w:t xml:space="preserve"> we also installed a dual-fan electric cooler to prevent the </w:t>
      </w:r>
      <w:r w:rsidR="001B0BB7">
        <w:t>oil temperature from increasing,</w:t>
      </w:r>
      <w:r w:rsidR="00464FCF" w:rsidRPr="00C16DBD">
        <w:t xml:space="preserve"> as it tends to rise quickly when working with a harvesting h</w:t>
      </w:r>
      <w:r w:rsidR="008E571C">
        <w:t>ead and this could cause a fire, and</w:t>
      </w:r>
      <w:r w:rsidR="00464FCF" w:rsidRPr="00C16DBD">
        <w:t xml:space="preserve"> </w:t>
      </w:r>
      <w:r w:rsidR="008E571C">
        <w:t>in a</w:t>
      </w:r>
      <w:r w:rsidR="00464FCF" w:rsidRPr="00C16DBD">
        <w:t xml:space="preserve"> forest</w:t>
      </w:r>
      <w:r w:rsidR="008E571C">
        <w:t xml:space="preserve"> location</w:t>
      </w:r>
      <w:r w:rsidR="003F73BC">
        <w:t xml:space="preserve"> it could be a major issue</w:t>
      </w:r>
      <w:r w:rsidR="00464FCF" w:rsidRPr="00C16DBD">
        <w:t>.</w:t>
      </w:r>
      <w:r w:rsidR="003F73BC">
        <w:t>”</w:t>
      </w:r>
    </w:p>
    <w:p w:rsidR="00C16DBD" w:rsidRPr="00C16DBD" w:rsidRDefault="00011ABA" w:rsidP="00011ABA">
      <w:pPr>
        <w:jc w:val="both"/>
        <w:rPr>
          <w:color w:val="333333"/>
          <w:sz w:val="18"/>
        </w:rPr>
      </w:pPr>
      <w:r w:rsidRPr="00C16DBD">
        <w:rPr>
          <w:b/>
          <w:shd w:val="clear" w:color="auto" w:fill="FFFFFF"/>
        </w:rPr>
        <w:t>CX210D technical specifications</w:t>
      </w:r>
    </w:p>
    <w:p w:rsidR="00011ABA" w:rsidRPr="00C16DBD" w:rsidRDefault="00011ABA" w:rsidP="00011ABA">
      <w:pPr>
        <w:jc w:val="both"/>
        <w:rPr>
          <w:rFonts w:eastAsia="Helvetica Neue" w:cs="Arial"/>
          <w:szCs w:val="19"/>
          <w:shd w:val="clear" w:color="auto" w:fill="FFFFFF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3119"/>
      </w:tblGrid>
      <w:tr w:rsidR="00011ABA" w:rsidRPr="00C16DBD" w:rsidTr="00D97B73">
        <w:trPr>
          <w:trHeight w:val="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C16DBD" w:rsidRDefault="00011ABA" w:rsidP="00D97B73">
            <w:pPr>
              <w:snapToGrid w:val="0"/>
              <w:rPr>
                <w:b/>
                <w:sz w:val="24"/>
                <w:szCs w:val="24"/>
              </w:rPr>
            </w:pPr>
            <w:r w:rsidRPr="00C16DBD">
              <w:rPr>
                <w:b/>
                <w:shd w:val="clear" w:color="auto" w:fill="FFFFFF"/>
              </w:rPr>
              <w:t>Excavator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BA" w:rsidRPr="00C16DBD" w:rsidRDefault="00011ABA" w:rsidP="00D97B73">
            <w:pPr>
              <w:snapToGrid w:val="0"/>
              <w:rPr>
                <w:b/>
                <w:sz w:val="24"/>
                <w:szCs w:val="24"/>
              </w:rPr>
            </w:pPr>
            <w:r w:rsidRPr="00C16DBD">
              <w:rPr>
                <w:b/>
                <w:shd w:val="clear" w:color="auto" w:fill="FFFFFF"/>
              </w:rPr>
              <w:t>CASE CX210D</w:t>
            </w:r>
          </w:p>
        </w:tc>
      </w:tr>
      <w:tr w:rsidR="00011ABA" w:rsidRPr="00C16DBD" w:rsidTr="00D97B73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C16DBD" w:rsidRDefault="00011ABA" w:rsidP="00D97B73">
            <w:pPr>
              <w:snapToGrid w:val="0"/>
              <w:jc w:val="both"/>
              <w:rPr>
                <w:rFonts w:cs="Helvetica"/>
                <w:sz w:val="24"/>
                <w:szCs w:val="24"/>
              </w:rPr>
            </w:pPr>
            <w:r w:rsidRPr="00C16DBD">
              <w:t>Maximum operating weight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C16DBD" w:rsidRDefault="009512BB" w:rsidP="009512BB">
            <w:pPr>
              <w:snapToGrid w:val="0"/>
              <w:jc w:val="both"/>
              <w:rPr>
                <w:rFonts w:cs="Helvetica"/>
                <w:sz w:val="24"/>
                <w:szCs w:val="24"/>
              </w:rPr>
            </w:pPr>
            <w:r w:rsidRPr="00C16DBD">
              <w:t xml:space="preserve">21.5 t </w:t>
            </w:r>
          </w:p>
        </w:tc>
      </w:tr>
      <w:tr w:rsidR="00011ABA" w:rsidRPr="00C16DBD" w:rsidTr="00D97B73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C16DBD" w:rsidRDefault="00011ABA" w:rsidP="00C16DBD">
            <w:pPr>
              <w:spacing w:line="240" w:lineRule="auto"/>
              <w:jc w:val="both"/>
            </w:pPr>
            <w:r w:rsidRPr="00C16DBD">
              <w:t>Power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BA" w:rsidRPr="00C16DBD" w:rsidRDefault="00011ABA" w:rsidP="009512BB">
            <w:pPr>
              <w:spacing w:line="240" w:lineRule="auto"/>
              <w:jc w:val="both"/>
              <w:rPr>
                <w:rFonts w:eastAsia="Helvetica Neue" w:cs="Arial"/>
                <w:szCs w:val="19"/>
                <w:shd w:val="clear" w:color="auto" w:fill="FFFFFF"/>
              </w:rPr>
            </w:pPr>
            <w:r w:rsidRPr="00C16DBD">
              <w:t>124 kW / 166 HP</w:t>
            </w:r>
          </w:p>
        </w:tc>
      </w:tr>
      <w:tr w:rsidR="00011ABA" w:rsidRPr="001070AB" w:rsidTr="00D97B73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C16DBD" w:rsidRDefault="009512BB" w:rsidP="00D97B73">
            <w:pPr>
              <w:snapToGrid w:val="0"/>
              <w:jc w:val="both"/>
              <w:rPr>
                <w:rFonts w:cs="Helvetica"/>
                <w:sz w:val="24"/>
                <w:szCs w:val="24"/>
              </w:rPr>
            </w:pPr>
            <w:r w:rsidRPr="00C16DBD">
              <w:t>Motor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BA" w:rsidRPr="00F54186" w:rsidRDefault="009512BB" w:rsidP="00D97B73">
            <w:pPr>
              <w:rPr>
                <w:rFonts w:cs="Helvetica"/>
                <w:sz w:val="24"/>
                <w:szCs w:val="24"/>
                <w:lang w:val="fr-FR"/>
              </w:rPr>
            </w:pPr>
            <w:r w:rsidRPr="00F54186">
              <w:rPr>
                <w:lang w:val="fr-FR"/>
              </w:rPr>
              <w:t xml:space="preserve">Isuzu - </w:t>
            </w:r>
            <w:proofErr w:type="spellStart"/>
            <w:r w:rsidRPr="00F54186">
              <w:rPr>
                <w:lang w:val="fr-FR"/>
              </w:rPr>
              <w:t>Tier</w:t>
            </w:r>
            <w:proofErr w:type="spellEnd"/>
            <w:r w:rsidRPr="00F54186">
              <w:rPr>
                <w:lang w:val="fr-FR"/>
              </w:rPr>
              <w:t xml:space="preserve"> 4F / EU Stage IV </w:t>
            </w:r>
          </w:p>
        </w:tc>
      </w:tr>
    </w:tbl>
    <w:p w:rsidR="006B252F" w:rsidRPr="00F54186" w:rsidRDefault="006B252F" w:rsidP="008D1C42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fr-FR"/>
        </w:rPr>
      </w:pPr>
    </w:p>
    <w:p w:rsidR="008D1C42" w:rsidRPr="00C16DBD" w:rsidRDefault="008D1C42" w:rsidP="00513C8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 w:rsidRPr="00C16DBD">
        <w:rPr>
          <w:sz w:val="19"/>
        </w:rPr>
        <w:t xml:space="preserve">By visiting our website you can download texts, images and videos in high definition related to this press release (jpg 300 dpi, CMYK): </w:t>
      </w:r>
      <w:hyperlink r:id="rId9">
        <w:r w:rsidRPr="00C16DBD">
          <w:rPr>
            <w:rStyle w:val="Hipervnculo"/>
            <w:sz w:val="19"/>
          </w:rPr>
          <w:t>www.casecetools.com/press-kit</w:t>
        </w:r>
      </w:hyperlink>
    </w:p>
    <w:p w:rsidR="008D1C42" w:rsidRPr="00C16DBD" w:rsidRDefault="008D1C42" w:rsidP="00513C8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4D5594" w:rsidRPr="00C16DBD" w:rsidRDefault="004D5594" w:rsidP="004D5594">
      <w:pPr>
        <w:pStyle w:val="style2"/>
        <w:spacing w:before="0" w:beforeAutospacing="0" w:after="0" w:afterAutospacing="0"/>
        <w:jc w:val="both"/>
        <w:rPr>
          <w:sz w:val="19"/>
          <w:szCs w:val="19"/>
        </w:rPr>
      </w:pPr>
    </w:p>
    <w:p w:rsidR="004D5594" w:rsidRPr="00C16DBD" w:rsidRDefault="004D5594" w:rsidP="004D5594">
      <w:pPr>
        <w:pStyle w:val="style2"/>
        <w:spacing w:before="0" w:beforeAutospacing="0" w:after="0" w:afterAutospacing="0"/>
        <w:jc w:val="both"/>
        <w:rPr>
          <w:b/>
        </w:rPr>
      </w:pPr>
      <w:r w:rsidRPr="00C16DBD">
        <w:rPr>
          <w:b/>
          <w:sz w:val="19"/>
        </w:rPr>
        <w:t>Follow CASE on: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4D5594" w:rsidRPr="00C16DBD" w:rsidTr="00D5701B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4D5594" w:rsidRPr="00C16DBD" w:rsidTr="00D5701B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4D5594" w:rsidRPr="00C16DBD" w:rsidRDefault="00364D48" w:rsidP="00D5701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hyperlink r:id="rId10"/>
                  <w:r w:rsidR="00647DFD" w:rsidRPr="00C16DBD">
                    <w:rPr>
                      <w:noProof/>
                      <w:lang w:val="es-ES" w:eastAsia="es-ES" w:bidi="ar-SA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5" name="Imagen 15" descr="FB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D5594" w:rsidRPr="00C16DBD" w:rsidRDefault="004D5594" w:rsidP="00D5701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C16DBD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 w:bidi="ar-SA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4" name="Imagen 14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D5594" w:rsidRPr="00C16DBD" w:rsidRDefault="004D5594" w:rsidP="00D5701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C16DBD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 w:bidi="ar-SA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3" name="Imagen 1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4D5594" w:rsidRPr="00C16DBD" w:rsidRDefault="004D5594" w:rsidP="00D5701B">
                  <w:pPr>
                    <w:spacing w:line="240" w:lineRule="auto"/>
                    <w:jc w:val="both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C16DBD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 w:bidi="ar-SA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12" name="Imagen 12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D5594" w:rsidRPr="00C16DBD" w:rsidRDefault="004D5594" w:rsidP="00D5701B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:rsidR="004D5594" w:rsidRPr="00C16DBD" w:rsidRDefault="004D5594" w:rsidP="00D5701B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16D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4D5594" w:rsidRPr="00C16DBD" w:rsidRDefault="004D5594" w:rsidP="00D5701B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16DB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4D5594" w:rsidRPr="00C16DBD" w:rsidRDefault="004D5594" w:rsidP="00D5701B">
            <w:pPr>
              <w:spacing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C16DBD">
              <w:rPr>
                <w:rFonts w:ascii="Verdana" w:hAnsi="Verdana"/>
              </w:rPr>
              <w:t> </w:t>
            </w:r>
            <w:hyperlink r:id="rId22"/>
          </w:p>
        </w:tc>
      </w:tr>
    </w:tbl>
    <w:p w:rsidR="004D5594" w:rsidRPr="00C16DBD" w:rsidRDefault="004D5594" w:rsidP="004D5594">
      <w:pPr>
        <w:jc w:val="both"/>
        <w:rPr>
          <w:rFonts w:cs="Arial"/>
          <w:i/>
          <w:color w:val="auto"/>
          <w:sz w:val="16"/>
          <w:szCs w:val="16"/>
        </w:rPr>
      </w:pPr>
      <w:r w:rsidRPr="00C16DBD">
        <w:rPr>
          <w:i/>
          <w:sz w:val="16"/>
        </w:rPr>
        <w:t xml:space="preserve">CASE Construction Equipment sells and supports a full line of construction equipment around the world, including the No. 1 loader/backhoes,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23">
        <w:r w:rsidRPr="00C16DBD">
          <w:rPr>
            <w:rStyle w:val="Hipervnculo"/>
            <w:i/>
            <w:sz w:val="16"/>
          </w:rPr>
          <w:t>www.CASEce.com</w:t>
        </w:r>
      </w:hyperlink>
      <w:r w:rsidRPr="00C16DBD">
        <w:rPr>
          <w:i/>
          <w:sz w:val="16"/>
        </w:rPr>
        <w:t>.</w:t>
      </w:r>
    </w:p>
    <w:p w:rsidR="004D5594" w:rsidRPr="00C16DBD" w:rsidRDefault="004D5594" w:rsidP="004D5594">
      <w:pPr>
        <w:jc w:val="both"/>
        <w:rPr>
          <w:rFonts w:cs="Arial"/>
          <w:i/>
          <w:sz w:val="16"/>
          <w:szCs w:val="16"/>
        </w:rPr>
      </w:pPr>
      <w:r w:rsidRPr="00C16DBD">
        <w:rPr>
          <w:i/>
          <w:sz w:val="16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C16DBD">
        <w:rPr>
          <w:i/>
          <w:sz w:val="16"/>
        </w:rPr>
        <w:t>Mercato</w:t>
      </w:r>
      <w:proofErr w:type="spellEnd"/>
      <w:r w:rsidRPr="00C16DBD">
        <w:rPr>
          <w:i/>
          <w:sz w:val="16"/>
        </w:rPr>
        <w:t xml:space="preserve"> </w:t>
      </w:r>
      <w:proofErr w:type="spellStart"/>
      <w:r w:rsidRPr="00C16DBD">
        <w:rPr>
          <w:i/>
          <w:sz w:val="16"/>
        </w:rPr>
        <w:t>Telematico</w:t>
      </w:r>
      <w:proofErr w:type="spellEnd"/>
      <w:r w:rsidRPr="00C16DBD">
        <w:rPr>
          <w:i/>
          <w:sz w:val="16"/>
        </w:rPr>
        <w:t xml:space="preserve"> </w:t>
      </w:r>
      <w:proofErr w:type="spellStart"/>
      <w:r w:rsidRPr="00C16DBD">
        <w:rPr>
          <w:i/>
          <w:sz w:val="16"/>
        </w:rPr>
        <w:t>Azionario</w:t>
      </w:r>
      <w:proofErr w:type="spellEnd"/>
      <w:r w:rsidRPr="00C16DBD">
        <w:rPr>
          <w:i/>
          <w:sz w:val="16"/>
        </w:rPr>
        <w:t xml:space="preserve"> of the </w:t>
      </w:r>
      <w:proofErr w:type="spellStart"/>
      <w:r w:rsidRPr="00C16DBD">
        <w:rPr>
          <w:i/>
          <w:sz w:val="16"/>
        </w:rPr>
        <w:t>Borsa</w:t>
      </w:r>
      <w:proofErr w:type="spellEnd"/>
      <w:r w:rsidRPr="00C16DBD">
        <w:rPr>
          <w:i/>
          <w:sz w:val="16"/>
        </w:rPr>
        <w:t xml:space="preserve"> </w:t>
      </w:r>
      <w:proofErr w:type="spellStart"/>
      <w:r w:rsidRPr="00C16DBD">
        <w:rPr>
          <w:i/>
          <w:sz w:val="16"/>
        </w:rPr>
        <w:t>Italiana</w:t>
      </w:r>
      <w:proofErr w:type="spellEnd"/>
      <w:r w:rsidRPr="00C16DBD">
        <w:rPr>
          <w:i/>
          <w:sz w:val="16"/>
        </w:rPr>
        <w:t xml:space="preserve"> (MI: CNHI). More information about CNH Industrial can be found online at </w:t>
      </w:r>
      <w:hyperlink r:id="rId24">
        <w:r w:rsidRPr="00C16DBD">
          <w:rPr>
            <w:rStyle w:val="Hipervnculo"/>
            <w:i/>
            <w:sz w:val="16"/>
          </w:rPr>
          <w:t>www.cnhindustrial.com</w:t>
        </w:r>
      </w:hyperlink>
      <w:r w:rsidRPr="00C16DBD">
        <w:rPr>
          <w:rStyle w:val="Hipervnculo"/>
        </w:rPr>
        <w:t>.</w:t>
      </w:r>
    </w:p>
    <w:p w:rsidR="004D5594" w:rsidRPr="00C16DBD" w:rsidRDefault="004D5594" w:rsidP="004D5594">
      <w:pPr>
        <w:pStyle w:val="style2"/>
        <w:spacing w:before="0" w:beforeAutospacing="0" w:after="0" w:afterAutospacing="0" w:line="300" w:lineRule="exact"/>
        <w:jc w:val="both"/>
        <w:rPr>
          <w:i/>
          <w:color w:val="auto"/>
          <w:sz w:val="16"/>
          <w:szCs w:val="16"/>
        </w:rPr>
      </w:pPr>
    </w:p>
    <w:p w:rsidR="004D5594" w:rsidRPr="00C16DBD" w:rsidRDefault="004D5594" w:rsidP="004D5594">
      <w:pPr>
        <w:pStyle w:val="01TESTO"/>
        <w:jc w:val="both"/>
        <w:rPr>
          <w:b/>
        </w:rPr>
      </w:pPr>
      <w:r w:rsidRPr="00C16DBD">
        <w:rPr>
          <w:b/>
        </w:rPr>
        <w:t>For more information contact:</w:t>
      </w:r>
    </w:p>
    <w:p w:rsidR="004D5594" w:rsidRPr="00C16DBD" w:rsidRDefault="004D5594" w:rsidP="004D5594">
      <w:pPr>
        <w:pStyle w:val="01TESTO"/>
        <w:jc w:val="both"/>
        <w:rPr>
          <w:sz w:val="18"/>
          <w:szCs w:val="18"/>
        </w:rPr>
      </w:pPr>
    </w:p>
    <w:p w:rsidR="004D5594" w:rsidRPr="00C16DBD" w:rsidRDefault="004D5594" w:rsidP="004D5594">
      <w:pPr>
        <w:jc w:val="both"/>
        <w:rPr>
          <w:rFonts w:ascii="Helvetica" w:hAnsi="Helvetica"/>
          <w:sz w:val="18"/>
          <w:szCs w:val="18"/>
        </w:rPr>
      </w:pPr>
      <w:r w:rsidRPr="00C16DBD">
        <w:rPr>
          <w:sz w:val="18"/>
        </w:rPr>
        <w:t xml:space="preserve">Lynn Campbell (TLC </w:t>
      </w:r>
      <w:proofErr w:type="spellStart"/>
      <w:r w:rsidRPr="00C16DBD">
        <w:rPr>
          <w:sz w:val="18"/>
        </w:rPr>
        <w:t>pr</w:t>
      </w:r>
      <w:proofErr w:type="spellEnd"/>
      <w:r w:rsidRPr="00C16DBD">
        <w:rPr>
          <w:sz w:val="18"/>
        </w:rPr>
        <w:t xml:space="preserve"> for ALARCON &amp; HARRIS)</w:t>
      </w:r>
    </w:p>
    <w:p w:rsidR="004D5594" w:rsidRPr="00C16DBD" w:rsidRDefault="004D5594" w:rsidP="004D5594">
      <w:pPr>
        <w:pStyle w:val="01TESTO"/>
        <w:jc w:val="both"/>
        <w:rPr>
          <w:sz w:val="18"/>
          <w:szCs w:val="18"/>
        </w:rPr>
      </w:pPr>
    </w:p>
    <w:p w:rsidR="004D5594" w:rsidRPr="00F54186" w:rsidRDefault="004D5594" w:rsidP="004D5594">
      <w:pPr>
        <w:pStyle w:val="01TESTO"/>
        <w:jc w:val="both"/>
        <w:rPr>
          <w:sz w:val="18"/>
          <w:szCs w:val="18"/>
          <w:lang w:val="fr-FR"/>
        </w:rPr>
      </w:pPr>
      <w:r w:rsidRPr="00F54186">
        <w:rPr>
          <w:sz w:val="18"/>
          <w:lang w:val="fr-FR"/>
        </w:rPr>
        <w:t>Tel: +44 (0) 1704 566354</w:t>
      </w:r>
    </w:p>
    <w:p w:rsidR="004D5594" w:rsidRPr="00F54186" w:rsidRDefault="004D5594" w:rsidP="004D5594">
      <w:pPr>
        <w:pStyle w:val="01TESTO"/>
        <w:jc w:val="both"/>
        <w:rPr>
          <w:sz w:val="18"/>
          <w:szCs w:val="18"/>
          <w:lang w:val="fr-FR"/>
        </w:rPr>
      </w:pPr>
    </w:p>
    <w:p w:rsidR="004D5594" w:rsidRPr="00F54186" w:rsidRDefault="004D5594" w:rsidP="004D5594">
      <w:pPr>
        <w:pStyle w:val="01TESTO"/>
        <w:jc w:val="both"/>
        <w:rPr>
          <w:sz w:val="18"/>
          <w:szCs w:val="18"/>
          <w:lang w:val="fr-FR"/>
        </w:rPr>
      </w:pPr>
      <w:r w:rsidRPr="00F54186">
        <w:rPr>
          <w:sz w:val="18"/>
          <w:lang w:val="fr-FR"/>
        </w:rPr>
        <w:t xml:space="preserve">Email: </w:t>
      </w:r>
      <w:hyperlink r:id="rId25" w:tooltip="mailto:lynn@tlcpr.co.uk">
        <w:r w:rsidRPr="00F54186">
          <w:rPr>
            <w:rStyle w:val="Hipervnculo"/>
            <w:sz w:val="18"/>
            <w:lang w:val="fr-FR"/>
          </w:rPr>
          <w:t>lynn@tlcpr.co.uk</w:t>
        </w:r>
      </w:hyperlink>
    </w:p>
    <w:p w:rsidR="004D5594" w:rsidRPr="00F54186" w:rsidRDefault="004D5594" w:rsidP="004D5594">
      <w:pPr>
        <w:jc w:val="both"/>
        <w:rPr>
          <w:rFonts w:cs="Arial"/>
          <w:szCs w:val="19"/>
          <w:lang w:val="fr-FR"/>
        </w:rPr>
      </w:pPr>
    </w:p>
    <w:p w:rsidR="000A4F6A" w:rsidRPr="00F54186" w:rsidRDefault="000A4F6A" w:rsidP="004D5594">
      <w:pPr>
        <w:pStyle w:val="style2"/>
        <w:spacing w:before="0" w:beforeAutospacing="0" w:after="0" w:afterAutospacing="0" w:line="300" w:lineRule="exact"/>
        <w:jc w:val="both"/>
        <w:rPr>
          <w:szCs w:val="19"/>
          <w:lang w:val="fr-FR"/>
        </w:rPr>
      </w:pPr>
    </w:p>
    <w:sectPr w:rsidR="000A4F6A" w:rsidRPr="00F54186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2E" w:rsidRDefault="00FE022E">
      <w:pPr>
        <w:spacing w:line="240" w:lineRule="auto"/>
      </w:pPr>
      <w:r>
        <w:separator/>
      </w:r>
    </w:p>
  </w:endnote>
  <w:endnote w:type="continuationSeparator" w:id="0">
    <w:p w:rsidR="00FE022E" w:rsidRDefault="00FE0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Pr="00C7201A" w:rsidRDefault="009A09A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2E" w:rsidRDefault="00FE022E">
      <w:pPr>
        <w:spacing w:line="240" w:lineRule="auto"/>
      </w:pPr>
      <w:r>
        <w:separator/>
      </w:r>
    </w:p>
  </w:footnote>
  <w:footnote w:type="continuationSeparator" w:id="0">
    <w:p w:rsidR="00FE022E" w:rsidRDefault="00FE02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r>
      <w:rPr>
        <w:noProof/>
        <w:lang w:val="es-ES" w:eastAsia="es-ES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186">
      <w:rPr>
        <w:noProof/>
        <w:lang w:val="es-ES" w:eastAsia="es-ES" w:bidi="ar-SA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F67234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A09AF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2835" w:type="dxa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A09AF" w:rsidRPr="00B32BE8" w:rsidRDefault="009A09A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A09A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A09AF" w:rsidRDefault="009A09AF" w:rsidP="00D01F1C">
          <w:pPr>
            <w:pStyle w:val="01TESTO"/>
          </w:pPr>
          <w:r>
            <w:rPr>
              <w:noProof/>
              <w:lang w:val="es-ES" w:eastAsia="es-ES" w:bidi="ar-SA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09AF" w:rsidRDefault="009A09AF" w:rsidP="00D01F1C">
    <w:r>
      <w:rPr>
        <w:noProof/>
        <w:lang w:val="es-ES" w:eastAsia="es-E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4186">
      <w:rPr>
        <w:noProof/>
        <w:lang w:val="es-ES" w:eastAsia="es-ES" w:bidi="ar-SA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6752ED9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F54186">
      <w:rPr>
        <w:noProof/>
        <w:lang w:val="es-ES" w:eastAsia="es-ES" w:bidi="ar-SA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A5082D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7A2"/>
    <w:rsid w:val="00011ABA"/>
    <w:rsid w:val="000120A1"/>
    <w:rsid w:val="0001433C"/>
    <w:rsid w:val="00017072"/>
    <w:rsid w:val="0002025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0E21"/>
    <w:rsid w:val="00091601"/>
    <w:rsid w:val="0009610F"/>
    <w:rsid w:val="000A4F6A"/>
    <w:rsid w:val="000D51A9"/>
    <w:rsid w:val="000E1A7E"/>
    <w:rsid w:val="000E71CF"/>
    <w:rsid w:val="000E7733"/>
    <w:rsid w:val="000F2B17"/>
    <w:rsid w:val="000F5EE1"/>
    <w:rsid w:val="000F7C8E"/>
    <w:rsid w:val="000F7DA3"/>
    <w:rsid w:val="0010352A"/>
    <w:rsid w:val="00105F55"/>
    <w:rsid w:val="001070AB"/>
    <w:rsid w:val="00113621"/>
    <w:rsid w:val="00120A22"/>
    <w:rsid w:val="00121E80"/>
    <w:rsid w:val="00132964"/>
    <w:rsid w:val="00152F07"/>
    <w:rsid w:val="00156BEB"/>
    <w:rsid w:val="00157752"/>
    <w:rsid w:val="001618D6"/>
    <w:rsid w:val="001642D7"/>
    <w:rsid w:val="00166BE9"/>
    <w:rsid w:val="00166DB0"/>
    <w:rsid w:val="00170B08"/>
    <w:rsid w:val="00171CD9"/>
    <w:rsid w:val="00173B3D"/>
    <w:rsid w:val="00174619"/>
    <w:rsid w:val="0017544B"/>
    <w:rsid w:val="001754B7"/>
    <w:rsid w:val="001767F2"/>
    <w:rsid w:val="00194B71"/>
    <w:rsid w:val="00195CCA"/>
    <w:rsid w:val="00197D07"/>
    <w:rsid w:val="001A37A3"/>
    <w:rsid w:val="001B0BB7"/>
    <w:rsid w:val="001B5634"/>
    <w:rsid w:val="001C3014"/>
    <w:rsid w:val="001D08A3"/>
    <w:rsid w:val="001D1C29"/>
    <w:rsid w:val="001F4510"/>
    <w:rsid w:val="00201360"/>
    <w:rsid w:val="00217020"/>
    <w:rsid w:val="00221028"/>
    <w:rsid w:val="002248FC"/>
    <w:rsid w:val="00225D26"/>
    <w:rsid w:val="00225E0B"/>
    <w:rsid w:val="002272D1"/>
    <w:rsid w:val="00237128"/>
    <w:rsid w:val="0024223A"/>
    <w:rsid w:val="00244788"/>
    <w:rsid w:val="00244912"/>
    <w:rsid w:val="00263776"/>
    <w:rsid w:val="00264C35"/>
    <w:rsid w:val="00273BE8"/>
    <w:rsid w:val="00282A60"/>
    <w:rsid w:val="002866E6"/>
    <w:rsid w:val="00295F5B"/>
    <w:rsid w:val="002A0272"/>
    <w:rsid w:val="002B0D45"/>
    <w:rsid w:val="002B4B2A"/>
    <w:rsid w:val="002E0413"/>
    <w:rsid w:val="002E42D8"/>
    <w:rsid w:val="002F6342"/>
    <w:rsid w:val="002F6B52"/>
    <w:rsid w:val="002F7342"/>
    <w:rsid w:val="002F74C3"/>
    <w:rsid w:val="003239F9"/>
    <w:rsid w:val="00325CA3"/>
    <w:rsid w:val="00330590"/>
    <w:rsid w:val="00333A6E"/>
    <w:rsid w:val="00333E8A"/>
    <w:rsid w:val="003417BC"/>
    <w:rsid w:val="0034265F"/>
    <w:rsid w:val="0034391D"/>
    <w:rsid w:val="00345C07"/>
    <w:rsid w:val="003577EC"/>
    <w:rsid w:val="00360295"/>
    <w:rsid w:val="00363FE5"/>
    <w:rsid w:val="00364D48"/>
    <w:rsid w:val="003761F5"/>
    <w:rsid w:val="00376E0D"/>
    <w:rsid w:val="003818BA"/>
    <w:rsid w:val="003818E0"/>
    <w:rsid w:val="00391D4D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3F3969"/>
    <w:rsid w:val="003F73BC"/>
    <w:rsid w:val="00410435"/>
    <w:rsid w:val="0042385C"/>
    <w:rsid w:val="00424F26"/>
    <w:rsid w:val="00426608"/>
    <w:rsid w:val="0043406A"/>
    <w:rsid w:val="004468CC"/>
    <w:rsid w:val="004565F8"/>
    <w:rsid w:val="00456A34"/>
    <w:rsid w:val="00456DE1"/>
    <w:rsid w:val="0046276A"/>
    <w:rsid w:val="004632B1"/>
    <w:rsid w:val="00463600"/>
    <w:rsid w:val="00464FCF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A6ECF"/>
    <w:rsid w:val="004B314A"/>
    <w:rsid w:val="004B792F"/>
    <w:rsid w:val="004C070B"/>
    <w:rsid w:val="004C1A8A"/>
    <w:rsid w:val="004D0018"/>
    <w:rsid w:val="004D5594"/>
    <w:rsid w:val="004E4796"/>
    <w:rsid w:val="004E5104"/>
    <w:rsid w:val="004F363E"/>
    <w:rsid w:val="004F7034"/>
    <w:rsid w:val="004F791E"/>
    <w:rsid w:val="00500EE0"/>
    <w:rsid w:val="00510635"/>
    <w:rsid w:val="00513C85"/>
    <w:rsid w:val="0052035D"/>
    <w:rsid w:val="005212D9"/>
    <w:rsid w:val="005227B5"/>
    <w:rsid w:val="00523FB4"/>
    <w:rsid w:val="005240E6"/>
    <w:rsid w:val="00526224"/>
    <w:rsid w:val="00527696"/>
    <w:rsid w:val="00532772"/>
    <w:rsid w:val="0053481D"/>
    <w:rsid w:val="0054255B"/>
    <w:rsid w:val="00544E9D"/>
    <w:rsid w:val="005504C0"/>
    <w:rsid w:val="00551A21"/>
    <w:rsid w:val="00554589"/>
    <w:rsid w:val="00556669"/>
    <w:rsid w:val="00567398"/>
    <w:rsid w:val="00582D6E"/>
    <w:rsid w:val="00582DC8"/>
    <w:rsid w:val="0059437D"/>
    <w:rsid w:val="00595532"/>
    <w:rsid w:val="0059649F"/>
    <w:rsid w:val="0059734F"/>
    <w:rsid w:val="005A036C"/>
    <w:rsid w:val="005A5028"/>
    <w:rsid w:val="005A6C8C"/>
    <w:rsid w:val="005A73A9"/>
    <w:rsid w:val="005C1E9F"/>
    <w:rsid w:val="005C59D0"/>
    <w:rsid w:val="005C5C46"/>
    <w:rsid w:val="005D0DFE"/>
    <w:rsid w:val="005D1D11"/>
    <w:rsid w:val="005E1862"/>
    <w:rsid w:val="005F49FC"/>
    <w:rsid w:val="00612508"/>
    <w:rsid w:val="00617B37"/>
    <w:rsid w:val="0062038E"/>
    <w:rsid w:val="00623E11"/>
    <w:rsid w:val="00624580"/>
    <w:rsid w:val="00632A9D"/>
    <w:rsid w:val="00634A12"/>
    <w:rsid w:val="0063533E"/>
    <w:rsid w:val="0064142F"/>
    <w:rsid w:val="006459E0"/>
    <w:rsid w:val="00647941"/>
    <w:rsid w:val="00647DFD"/>
    <w:rsid w:val="0065024B"/>
    <w:rsid w:val="00652C19"/>
    <w:rsid w:val="006650AB"/>
    <w:rsid w:val="00682611"/>
    <w:rsid w:val="006835F8"/>
    <w:rsid w:val="006844E7"/>
    <w:rsid w:val="006863D2"/>
    <w:rsid w:val="006869DA"/>
    <w:rsid w:val="00687FC8"/>
    <w:rsid w:val="0069041B"/>
    <w:rsid w:val="00693D93"/>
    <w:rsid w:val="0069414E"/>
    <w:rsid w:val="006963E9"/>
    <w:rsid w:val="00697577"/>
    <w:rsid w:val="006A27EA"/>
    <w:rsid w:val="006A4FCF"/>
    <w:rsid w:val="006A57EE"/>
    <w:rsid w:val="006B252F"/>
    <w:rsid w:val="006B6661"/>
    <w:rsid w:val="006C1B2A"/>
    <w:rsid w:val="006C4143"/>
    <w:rsid w:val="006E3DF8"/>
    <w:rsid w:val="006E4181"/>
    <w:rsid w:val="006E650B"/>
    <w:rsid w:val="006E75BF"/>
    <w:rsid w:val="00704A21"/>
    <w:rsid w:val="00705A49"/>
    <w:rsid w:val="00711DE5"/>
    <w:rsid w:val="0072308B"/>
    <w:rsid w:val="00723D5B"/>
    <w:rsid w:val="00725120"/>
    <w:rsid w:val="00725DED"/>
    <w:rsid w:val="0072724F"/>
    <w:rsid w:val="00732D13"/>
    <w:rsid w:val="00752F5C"/>
    <w:rsid w:val="00757B78"/>
    <w:rsid w:val="00761C00"/>
    <w:rsid w:val="0076781F"/>
    <w:rsid w:val="00784D02"/>
    <w:rsid w:val="0078662A"/>
    <w:rsid w:val="0078799D"/>
    <w:rsid w:val="00792C47"/>
    <w:rsid w:val="00793CC5"/>
    <w:rsid w:val="007B3B4C"/>
    <w:rsid w:val="007C0429"/>
    <w:rsid w:val="007C0CCE"/>
    <w:rsid w:val="007C2782"/>
    <w:rsid w:val="007C7733"/>
    <w:rsid w:val="007D04F6"/>
    <w:rsid w:val="007D0F92"/>
    <w:rsid w:val="007D2B3D"/>
    <w:rsid w:val="007D39AD"/>
    <w:rsid w:val="007E1AD8"/>
    <w:rsid w:val="007E6FAD"/>
    <w:rsid w:val="007F2101"/>
    <w:rsid w:val="007F27EA"/>
    <w:rsid w:val="008062BC"/>
    <w:rsid w:val="008222D0"/>
    <w:rsid w:val="008327F4"/>
    <w:rsid w:val="00832C6D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00BD"/>
    <w:rsid w:val="008B0967"/>
    <w:rsid w:val="008B1E9C"/>
    <w:rsid w:val="008B4C8B"/>
    <w:rsid w:val="008B5943"/>
    <w:rsid w:val="008B608C"/>
    <w:rsid w:val="008C07DC"/>
    <w:rsid w:val="008C5AAC"/>
    <w:rsid w:val="008D1C42"/>
    <w:rsid w:val="008D4A64"/>
    <w:rsid w:val="008D7781"/>
    <w:rsid w:val="008E14A9"/>
    <w:rsid w:val="008E3ADA"/>
    <w:rsid w:val="008E4C3C"/>
    <w:rsid w:val="008E571C"/>
    <w:rsid w:val="008E6D38"/>
    <w:rsid w:val="008F13FD"/>
    <w:rsid w:val="008F459C"/>
    <w:rsid w:val="008F47CA"/>
    <w:rsid w:val="008F5499"/>
    <w:rsid w:val="00901F74"/>
    <w:rsid w:val="0090486D"/>
    <w:rsid w:val="00911291"/>
    <w:rsid w:val="00922012"/>
    <w:rsid w:val="0092405C"/>
    <w:rsid w:val="0093575E"/>
    <w:rsid w:val="0094780E"/>
    <w:rsid w:val="009512BB"/>
    <w:rsid w:val="00967702"/>
    <w:rsid w:val="00975565"/>
    <w:rsid w:val="00976956"/>
    <w:rsid w:val="00977FE9"/>
    <w:rsid w:val="009840E2"/>
    <w:rsid w:val="0098625D"/>
    <w:rsid w:val="00986747"/>
    <w:rsid w:val="00986929"/>
    <w:rsid w:val="009A09AF"/>
    <w:rsid w:val="009A2480"/>
    <w:rsid w:val="009A3334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7EB"/>
    <w:rsid w:val="00A11C95"/>
    <w:rsid w:val="00A124E3"/>
    <w:rsid w:val="00A20A0A"/>
    <w:rsid w:val="00A25B5E"/>
    <w:rsid w:val="00A33AFD"/>
    <w:rsid w:val="00A35D4D"/>
    <w:rsid w:val="00A36F0E"/>
    <w:rsid w:val="00A40810"/>
    <w:rsid w:val="00A4148D"/>
    <w:rsid w:val="00A43C87"/>
    <w:rsid w:val="00A51503"/>
    <w:rsid w:val="00A515EF"/>
    <w:rsid w:val="00A526AF"/>
    <w:rsid w:val="00A527D2"/>
    <w:rsid w:val="00A6391F"/>
    <w:rsid w:val="00A6409C"/>
    <w:rsid w:val="00A65079"/>
    <w:rsid w:val="00A71B3E"/>
    <w:rsid w:val="00A75A56"/>
    <w:rsid w:val="00A76496"/>
    <w:rsid w:val="00A806E1"/>
    <w:rsid w:val="00A86168"/>
    <w:rsid w:val="00AA52E9"/>
    <w:rsid w:val="00AA74C6"/>
    <w:rsid w:val="00AC2564"/>
    <w:rsid w:val="00AC593E"/>
    <w:rsid w:val="00AC59F7"/>
    <w:rsid w:val="00AD1B64"/>
    <w:rsid w:val="00AD58F5"/>
    <w:rsid w:val="00AD6A8E"/>
    <w:rsid w:val="00AE2A60"/>
    <w:rsid w:val="00AF4801"/>
    <w:rsid w:val="00B01CBB"/>
    <w:rsid w:val="00B11CAA"/>
    <w:rsid w:val="00B23AB6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3F2C"/>
    <w:rsid w:val="00BA4B18"/>
    <w:rsid w:val="00BA6862"/>
    <w:rsid w:val="00BC143A"/>
    <w:rsid w:val="00BC1E61"/>
    <w:rsid w:val="00BC2E4F"/>
    <w:rsid w:val="00BF40B2"/>
    <w:rsid w:val="00C00DD7"/>
    <w:rsid w:val="00C15592"/>
    <w:rsid w:val="00C16DBD"/>
    <w:rsid w:val="00C3020B"/>
    <w:rsid w:val="00C41FA8"/>
    <w:rsid w:val="00C4419C"/>
    <w:rsid w:val="00C55837"/>
    <w:rsid w:val="00C63CDA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D14C0"/>
    <w:rsid w:val="00CE29FA"/>
    <w:rsid w:val="00CE43D4"/>
    <w:rsid w:val="00D0182F"/>
    <w:rsid w:val="00D01F1C"/>
    <w:rsid w:val="00D067C0"/>
    <w:rsid w:val="00D1162B"/>
    <w:rsid w:val="00D12FE5"/>
    <w:rsid w:val="00D13813"/>
    <w:rsid w:val="00D15A2A"/>
    <w:rsid w:val="00D17044"/>
    <w:rsid w:val="00D21A49"/>
    <w:rsid w:val="00D3457C"/>
    <w:rsid w:val="00D446D2"/>
    <w:rsid w:val="00D45362"/>
    <w:rsid w:val="00D47AE4"/>
    <w:rsid w:val="00D5394C"/>
    <w:rsid w:val="00D544A5"/>
    <w:rsid w:val="00D5520D"/>
    <w:rsid w:val="00D61F4C"/>
    <w:rsid w:val="00D63E9D"/>
    <w:rsid w:val="00D73CFA"/>
    <w:rsid w:val="00D82FE1"/>
    <w:rsid w:val="00D86B46"/>
    <w:rsid w:val="00DA3AB9"/>
    <w:rsid w:val="00DC4A12"/>
    <w:rsid w:val="00DC4FF9"/>
    <w:rsid w:val="00DD1372"/>
    <w:rsid w:val="00DD352A"/>
    <w:rsid w:val="00DD745C"/>
    <w:rsid w:val="00DD7C58"/>
    <w:rsid w:val="00DF150A"/>
    <w:rsid w:val="00DF2F26"/>
    <w:rsid w:val="00DF43FE"/>
    <w:rsid w:val="00DF6A14"/>
    <w:rsid w:val="00E02ECC"/>
    <w:rsid w:val="00E14831"/>
    <w:rsid w:val="00E153C8"/>
    <w:rsid w:val="00E23075"/>
    <w:rsid w:val="00E26958"/>
    <w:rsid w:val="00E26EA0"/>
    <w:rsid w:val="00E35473"/>
    <w:rsid w:val="00E36E85"/>
    <w:rsid w:val="00E37299"/>
    <w:rsid w:val="00E403B2"/>
    <w:rsid w:val="00E431A3"/>
    <w:rsid w:val="00E46D85"/>
    <w:rsid w:val="00E51B36"/>
    <w:rsid w:val="00E54BE4"/>
    <w:rsid w:val="00E552F4"/>
    <w:rsid w:val="00E56ED4"/>
    <w:rsid w:val="00E57227"/>
    <w:rsid w:val="00E603F5"/>
    <w:rsid w:val="00E61DCC"/>
    <w:rsid w:val="00E74FCC"/>
    <w:rsid w:val="00E84A88"/>
    <w:rsid w:val="00E902C9"/>
    <w:rsid w:val="00E937D0"/>
    <w:rsid w:val="00E9717C"/>
    <w:rsid w:val="00EA2763"/>
    <w:rsid w:val="00EB1B82"/>
    <w:rsid w:val="00EC4604"/>
    <w:rsid w:val="00EE5B0D"/>
    <w:rsid w:val="00EE7D68"/>
    <w:rsid w:val="00EF3E92"/>
    <w:rsid w:val="00F0103B"/>
    <w:rsid w:val="00F11142"/>
    <w:rsid w:val="00F1595E"/>
    <w:rsid w:val="00F203ED"/>
    <w:rsid w:val="00F3099C"/>
    <w:rsid w:val="00F3383B"/>
    <w:rsid w:val="00F34902"/>
    <w:rsid w:val="00F4331E"/>
    <w:rsid w:val="00F433E0"/>
    <w:rsid w:val="00F43A90"/>
    <w:rsid w:val="00F54186"/>
    <w:rsid w:val="00F56D48"/>
    <w:rsid w:val="00F624CE"/>
    <w:rsid w:val="00F62F6F"/>
    <w:rsid w:val="00F7068B"/>
    <w:rsid w:val="00F72F3A"/>
    <w:rsid w:val="00F76120"/>
    <w:rsid w:val="00F77DB9"/>
    <w:rsid w:val="00F81DB9"/>
    <w:rsid w:val="00F95598"/>
    <w:rsid w:val="00FB4270"/>
    <w:rsid w:val="00FC7335"/>
    <w:rsid w:val="00FD493E"/>
    <w:rsid w:val="00FE022E"/>
    <w:rsid w:val="00FE2124"/>
    <w:rsid w:val="00FE248E"/>
    <w:rsid w:val="00FF0B6A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en-GB" w:eastAsia="en-GB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en-GB" w:eastAsia="en-GB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107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en-GB" w:eastAsia="en-GB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en-GB" w:eastAsia="en-GB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10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7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lynn@tlcpr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ukandroi" TargetMode="External"/><Relationship Id="rId24" Type="http://schemas.openxmlformats.org/officeDocument/2006/relationships/hyperlink" Target="http://www.cnhindustrial.com/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ED33B-D8B7-448E-8648-E683C51D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4</Pages>
  <Words>1170</Words>
  <Characters>6438</Characters>
  <Application>Microsoft Office Word</Application>
  <DocSecurity>4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Ruvicsa vende excavadora CX210D para uso forestal</vt:lpstr>
      <vt:lpstr>Ruvicsa vende excavadora CX210D para uso forestal</vt:lpstr>
    </vt:vector>
  </TitlesOfParts>
  <Company>A yH</Company>
  <LinksUpToDate>false</LinksUpToDate>
  <CharactersWithSpaces>7593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Ruvicsa vende excavadora CX210D para uso forestal</dc:title>
  <dc:creator>Elvira F</dc:creator>
  <cp:lastModifiedBy>Usuario</cp:lastModifiedBy>
  <cp:revision>2</cp:revision>
  <cp:lastPrinted>2013-10-09T08:28:00Z</cp:lastPrinted>
  <dcterms:created xsi:type="dcterms:W3CDTF">2017-02-20T17:18:00Z</dcterms:created>
  <dcterms:modified xsi:type="dcterms:W3CDTF">2017-02-20T17:18:00Z</dcterms:modified>
</cp:coreProperties>
</file>