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245A1D" w:rsidRDefault="00196F60" w:rsidP="0097556E">
      <w:pPr>
        <w:jc w:val="both"/>
        <w:rPr>
          <w:rFonts w:cs="Arial"/>
          <w:b/>
          <w:sz w:val="22"/>
          <w:szCs w:val="22"/>
        </w:rPr>
      </w:pPr>
      <w:r w:rsidRPr="00245A1D">
        <w:rPr>
          <w:b/>
          <w:sz w:val="22"/>
        </w:rPr>
        <w:t>CASE introduce un nuevo estilismo e imagen</w:t>
      </w:r>
    </w:p>
    <w:p w:rsidR="00D01F1C" w:rsidRPr="00245A1D" w:rsidRDefault="00D01F1C" w:rsidP="0097556E">
      <w:pPr>
        <w:jc w:val="both"/>
      </w:pPr>
    </w:p>
    <w:p w:rsidR="00D01F1C" w:rsidRPr="00245A1D" w:rsidRDefault="00D01F1C" w:rsidP="0097556E">
      <w:pPr>
        <w:jc w:val="both"/>
      </w:pPr>
    </w:p>
    <w:p w:rsidR="0097556E" w:rsidRPr="00EB3ED5" w:rsidRDefault="0097556E" w:rsidP="0097556E">
      <w:pPr>
        <w:pStyle w:val="01TESTO"/>
        <w:jc w:val="both"/>
      </w:pPr>
      <w:r w:rsidRPr="00EB3ED5">
        <w:t>Turín, 19 de enero de 2017</w:t>
      </w:r>
    </w:p>
    <w:p w:rsidR="00D01F1C" w:rsidRPr="00245A1D" w:rsidRDefault="00D01F1C" w:rsidP="0097556E">
      <w:pPr>
        <w:jc w:val="both"/>
      </w:pPr>
    </w:p>
    <w:p w:rsidR="0097556E" w:rsidRDefault="00AC213A" w:rsidP="0097556E">
      <w:pPr>
        <w:pStyle w:val="01TESTO"/>
        <w:jc w:val="both"/>
        <w:rPr>
          <w:color w:val="auto"/>
        </w:rPr>
      </w:pPr>
      <w:r w:rsidRPr="00245A1D">
        <w:rPr>
          <w:color w:val="auto"/>
        </w:rPr>
        <w:t xml:space="preserve">CASE </w:t>
      </w:r>
      <w:proofErr w:type="spellStart"/>
      <w:r w:rsidRPr="00245A1D">
        <w:rPr>
          <w:color w:val="auto"/>
        </w:rPr>
        <w:t>Construction</w:t>
      </w:r>
      <w:proofErr w:type="spellEnd"/>
      <w:r w:rsidRPr="00245A1D">
        <w:rPr>
          <w:color w:val="auto"/>
        </w:rPr>
        <w:t xml:space="preserve"> </w:t>
      </w:r>
      <w:proofErr w:type="spellStart"/>
      <w:r w:rsidRPr="00245A1D">
        <w:rPr>
          <w:color w:val="auto"/>
        </w:rPr>
        <w:t>Equipment</w:t>
      </w:r>
      <w:proofErr w:type="spellEnd"/>
      <w:r w:rsidRPr="00245A1D">
        <w:rPr>
          <w:color w:val="auto"/>
        </w:rPr>
        <w:t xml:space="preserve"> ha renovado la imagen de sus productos para reflejar tanto los valores de la marca como su enfoque práctico. Este nuevo estilismo se encuadra en la estrategia de CASE para reforzar la marca CASE y consolidar su posición en los mercados. Los pasos clave de esta estrategia han sido la firma de los nuevos acuerdos con </w:t>
      </w:r>
      <w:proofErr w:type="spellStart"/>
      <w:r w:rsidRPr="00245A1D">
        <w:rPr>
          <w:color w:val="auto"/>
        </w:rPr>
        <w:t>Sumitomo</w:t>
      </w:r>
      <w:proofErr w:type="spellEnd"/>
      <w:r w:rsidRPr="00245A1D">
        <w:rPr>
          <w:color w:val="auto"/>
        </w:rPr>
        <w:t xml:space="preserve"> y Hyundai Heavy Industries y la remodelación y cambio de denominación de las plantas de San Mauro y Lecce para crear los Centros CASE europeos de excavado</w:t>
      </w:r>
      <w:bookmarkStart w:id="0" w:name="_GoBack"/>
      <w:bookmarkEnd w:id="0"/>
      <w:r w:rsidRPr="00245A1D">
        <w:rPr>
          <w:color w:val="auto"/>
        </w:rPr>
        <w:t xml:space="preserve">ras y de maquinaria sobre ruedas. </w:t>
      </w:r>
    </w:p>
    <w:p w:rsidR="0097556E" w:rsidRDefault="0097556E" w:rsidP="0097556E">
      <w:pPr>
        <w:pStyle w:val="01TESTO"/>
        <w:jc w:val="both"/>
        <w:rPr>
          <w:color w:val="auto"/>
        </w:rPr>
      </w:pPr>
    </w:p>
    <w:p w:rsidR="0097556E" w:rsidRDefault="006E4698" w:rsidP="0097556E">
      <w:pPr>
        <w:pStyle w:val="01TESTO"/>
        <w:jc w:val="both"/>
        <w:rPr>
          <w:color w:val="auto"/>
        </w:rPr>
      </w:pPr>
      <w:r w:rsidRPr="00245A1D">
        <w:t>El nuevo estilismo e imagen, desarrollados en colaboración con el Centro de Diseño Industrial CNH, representan una sólida declaración de marca.</w:t>
      </w:r>
      <w:r w:rsidR="00245A1D">
        <w:rPr>
          <w:color w:val="auto"/>
        </w:rPr>
        <w:t xml:space="preserve"> </w:t>
      </w:r>
      <w:r w:rsidRPr="00245A1D">
        <w:rPr>
          <w:color w:val="auto"/>
        </w:rPr>
        <w:t xml:space="preserve">La rotulación 2D CASE de los distintivos utiliza la misma fuente que el logotipo de la marca para mantener la coherencia, mientras que el color blanco reflectante permite leer mucho mejor a distancia el nombre de la marca y el número de modelo. Con ello no solo aumenta la visibilidad de la marca en las máquinas, sino que se busca también la coherencia con los valores de CASE: "directo y al grano". Todas las máquinas lucen con orgullo la nueva placa metálica </w:t>
      </w:r>
      <w:proofErr w:type="spellStart"/>
      <w:r w:rsidRPr="00245A1D">
        <w:rPr>
          <w:color w:val="auto"/>
        </w:rPr>
        <w:t>Power</w:t>
      </w:r>
      <w:proofErr w:type="spellEnd"/>
      <w:r w:rsidRPr="00245A1D">
        <w:rPr>
          <w:color w:val="auto"/>
        </w:rPr>
        <w:t xml:space="preserve"> Abe, en conmemoración del gran legado de la marca</w:t>
      </w:r>
      <w:r w:rsidR="002C3099">
        <w:rPr>
          <w:color w:val="auto"/>
        </w:rPr>
        <w:t xml:space="preserve"> CASE</w:t>
      </w:r>
      <w:r w:rsidRPr="00245A1D">
        <w:rPr>
          <w:color w:val="auto"/>
        </w:rPr>
        <w:t xml:space="preserve"> y de su visión de futuro. El nuevo color gris oscuro de la parte inferior de las máquinas confiere un mayor sentido de solidez y fuerza. Se ha prestado especial atención al interior de las máquinas, que se ha renovado para crear un estilismo específico de CASE compartido por todos los modelos: desde el diseño común del asiento hasta el panel de instrumentos y los colores del interior.</w:t>
      </w:r>
    </w:p>
    <w:p w:rsidR="0097556E" w:rsidRDefault="0097556E" w:rsidP="0097556E">
      <w:pPr>
        <w:pStyle w:val="01TESTO"/>
        <w:jc w:val="both"/>
        <w:rPr>
          <w:color w:val="auto"/>
        </w:rPr>
      </w:pPr>
    </w:p>
    <w:p w:rsidR="0097556E" w:rsidRDefault="006F63B3" w:rsidP="0097556E">
      <w:pPr>
        <w:pStyle w:val="01TESTO"/>
        <w:jc w:val="both"/>
        <w:rPr>
          <w:color w:val="auto"/>
        </w:rPr>
      </w:pPr>
      <w:r w:rsidRPr="00245A1D">
        <w:rPr>
          <w:color w:val="auto"/>
        </w:rPr>
        <w:t xml:space="preserve">David </w:t>
      </w:r>
      <w:proofErr w:type="spellStart"/>
      <w:r w:rsidRPr="00245A1D">
        <w:rPr>
          <w:color w:val="auto"/>
        </w:rPr>
        <w:t>Wilkie</w:t>
      </w:r>
      <w:proofErr w:type="spellEnd"/>
      <w:r w:rsidRPr="00245A1D">
        <w:rPr>
          <w:color w:val="auto"/>
        </w:rPr>
        <w:t xml:space="preserve">, Director del Centro de Diseño Industrial CNH, explica: «Nuestro objetivo con este proyecto era crear hacia el exterior un lenguaje de diseño que reflejase solidez y precisión, al tiempo </w:t>
      </w:r>
      <w:proofErr w:type="gramStart"/>
      <w:r w:rsidRPr="00245A1D">
        <w:rPr>
          <w:color w:val="auto"/>
        </w:rPr>
        <w:t>que</w:t>
      </w:r>
      <w:proofErr w:type="gramEnd"/>
      <w:r w:rsidRPr="00245A1D">
        <w:rPr>
          <w:color w:val="auto"/>
        </w:rPr>
        <w:t xml:space="preserve"> daba a la marca CASE un aspecto específico que recoja su historia y sus valores, y esto en todos los modelos. </w:t>
      </w:r>
    </w:p>
    <w:p w:rsidR="0097556E" w:rsidRDefault="0097556E" w:rsidP="0097556E">
      <w:pPr>
        <w:pStyle w:val="01TESTO"/>
        <w:jc w:val="both"/>
        <w:rPr>
          <w:color w:val="auto"/>
        </w:rPr>
      </w:pPr>
    </w:p>
    <w:p w:rsidR="00176432" w:rsidRPr="00245A1D" w:rsidRDefault="00B97496" w:rsidP="0097556E">
      <w:pPr>
        <w:pStyle w:val="01TESTO"/>
        <w:jc w:val="both"/>
        <w:rPr>
          <w:color w:val="auto"/>
        </w:rPr>
      </w:pPr>
      <w:r w:rsidRPr="00245A1D">
        <w:rPr>
          <w:color w:val="auto"/>
        </w:rPr>
        <w:t>Respecto al diseño del interior, el objetivo era aprovechar nuestra experiencia para mejorar el confort y la calidad de vida a bordo usando para los asientos un tapizado y unos materiales diseñados especialmente. Aunque los c</w:t>
      </w:r>
      <w:r w:rsidR="00073AE4" w:rsidRPr="00AE6352">
        <w:rPr>
          <w:color w:val="auto"/>
        </w:rPr>
        <w:t>o</w:t>
      </w:r>
      <w:r w:rsidRPr="00245A1D">
        <w:rPr>
          <w:color w:val="auto"/>
        </w:rPr>
        <w:t>lores del tapizado interior se han modernizado para darle un aspecto contemporáneo, queremos despertar un fuerte sentimiento de familiaridad en toda la línea de productos».</w:t>
      </w:r>
    </w:p>
    <w:p w:rsidR="004A17E2" w:rsidRPr="00245A1D" w:rsidRDefault="004A17E2" w:rsidP="0097556E">
      <w:pPr>
        <w:pStyle w:val="01TESTO"/>
        <w:jc w:val="both"/>
        <w:rPr>
          <w:color w:val="auto"/>
        </w:rPr>
      </w:pPr>
    </w:p>
    <w:p w:rsidR="00AE6352" w:rsidRDefault="00AE6352" w:rsidP="0097556E">
      <w:pPr>
        <w:rPr>
          <w:color w:val="auto"/>
        </w:rPr>
      </w:pPr>
    </w:p>
    <w:p w:rsidR="004A17E2" w:rsidRPr="00245A1D" w:rsidRDefault="004A17E2" w:rsidP="0097556E">
      <w:pPr>
        <w:pStyle w:val="01TESTO"/>
        <w:jc w:val="both"/>
        <w:rPr>
          <w:color w:val="auto"/>
        </w:rPr>
      </w:pPr>
    </w:p>
    <w:p w:rsidR="001951A2" w:rsidRPr="00245A1D" w:rsidRDefault="001951A2" w:rsidP="0097556E">
      <w:pPr>
        <w:pStyle w:val="style2"/>
        <w:spacing w:before="0" w:beforeAutospacing="0" w:after="0" w:afterAutospacing="0" w:line="300" w:lineRule="exact"/>
        <w:jc w:val="both"/>
        <w:rPr>
          <w:sz w:val="19"/>
          <w:szCs w:val="19"/>
        </w:rPr>
      </w:pPr>
    </w:p>
    <w:p w:rsidR="0097556E" w:rsidRPr="00EB3ED5" w:rsidRDefault="0097556E" w:rsidP="0097556E">
      <w:pPr>
        <w:jc w:val="both"/>
        <w:rPr>
          <w:rFonts w:eastAsia="SimSun" w:cs="Arial"/>
          <w:szCs w:val="19"/>
        </w:rPr>
      </w:pPr>
      <w:r w:rsidRPr="00EB3ED5">
        <w:rPr>
          <w:rFonts w:eastAsia="SimSun" w:cs="Arial"/>
          <w:szCs w:val="19"/>
        </w:rPr>
        <w:t>Visitando nuestra página web podrá descargar textos, imágenes y vídeos en alta definición relacionados con este comunicado de prensa (</w:t>
      </w:r>
      <w:proofErr w:type="spellStart"/>
      <w:r w:rsidRPr="00EB3ED5">
        <w:rPr>
          <w:rFonts w:eastAsia="SimSun" w:cs="Arial"/>
          <w:szCs w:val="19"/>
        </w:rPr>
        <w:t>jpg</w:t>
      </w:r>
      <w:proofErr w:type="spellEnd"/>
      <w:r w:rsidRPr="00EB3ED5">
        <w:rPr>
          <w:rFonts w:eastAsia="SimSun" w:cs="Arial"/>
          <w:szCs w:val="19"/>
        </w:rPr>
        <w:t xml:space="preserve"> 300 dpi, CMYK): </w:t>
      </w:r>
      <w:hyperlink r:id="rId11" w:history="1">
        <w:r w:rsidRPr="00EB3ED5">
          <w:rPr>
            <w:rFonts w:eastAsia="SimSun" w:cs="Arial"/>
            <w:color w:val="0000FF"/>
            <w:u w:val="single"/>
          </w:rPr>
          <w:t>www.casecetools.com/press-kit</w:t>
        </w:r>
      </w:hyperlink>
    </w:p>
    <w:p w:rsidR="0097556E" w:rsidRDefault="0097556E" w:rsidP="0097556E">
      <w:pPr>
        <w:jc w:val="both"/>
        <w:rPr>
          <w:rFonts w:eastAsia="SimSun" w:cs="Arial"/>
          <w:b/>
          <w:szCs w:val="19"/>
        </w:rPr>
      </w:pPr>
    </w:p>
    <w:p w:rsidR="0097556E" w:rsidRDefault="0097556E" w:rsidP="0097556E">
      <w:pPr>
        <w:jc w:val="both"/>
        <w:rPr>
          <w:rFonts w:eastAsia="SimSun" w:cs="Arial"/>
          <w:b/>
          <w:szCs w:val="19"/>
        </w:rPr>
      </w:pPr>
    </w:p>
    <w:p w:rsidR="0097556E" w:rsidRPr="00EB3ED5" w:rsidRDefault="0097556E" w:rsidP="0097556E">
      <w:pPr>
        <w:jc w:val="both"/>
        <w:rPr>
          <w:rFonts w:eastAsia="SimSun" w:cs="Arial"/>
          <w:b/>
          <w:sz w:val="18"/>
          <w:szCs w:val="18"/>
        </w:rPr>
      </w:pPr>
      <w:r w:rsidRPr="00EB3ED5">
        <w:rPr>
          <w:rFonts w:eastAsia="SimSun" w:cs="Arial"/>
          <w:b/>
          <w:szCs w:val="19"/>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97556E" w:rsidRPr="00EB3ED5" w:rsidTr="00073FD7">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97556E" w:rsidRPr="00EB3ED5" w:rsidTr="00073FD7">
              <w:trPr>
                <w:trHeight w:val="442"/>
                <w:tblCellSpacing w:w="0" w:type="dxa"/>
              </w:trPr>
              <w:tc>
                <w:tcPr>
                  <w:tcW w:w="570" w:type="dxa"/>
                  <w:vAlign w:val="center"/>
                  <w:hideMark/>
                </w:tcPr>
                <w:p w:rsidR="0097556E" w:rsidRPr="00EB3ED5" w:rsidRDefault="00190060" w:rsidP="00073FD7">
                  <w:pPr>
                    <w:rPr>
                      <w:rFonts w:ascii="Calibri" w:eastAsia="Calibri" w:hAnsi="Calibri"/>
                      <w:sz w:val="22"/>
                      <w:szCs w:val="22"/>
                    </w:rPr>
                  </w:pPr>
                  <w:hyperlink r:id="rId12" w:history="1"/>
                  <w:r w:rsidR="0097556E" w:rsidRPr="00EB3ED5">
                    <w:rPr>
                      <w:rFonts w:eastAsia="SimSun"/>
                      <w:noProof/>
                      <w:lang w:bidi="ar-SA"/>
                    </w:rPr>
                    <w:drawing>
                      <wp:inline distT="0" distB="0" distL="0" distR="0" wp14:anchorId="4840DBAD" wp14:editId="7B3861BF">
                        <wp:extent cx="191135" cy="191135"/>
                        <wp:effectExtent l="0" t="0" r="0" b="0"/>
                        <wp:docPr id="5" name="Imagen 21" descr="facebook_ca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97556E" w:rsidRPr="00EB3ED5" w:rsidRDefault="0097556E" w:rsidP="00073FD7">
                  <w:pPr>
                    <w:rPr>
                      <w:rFonts w:ascii="Calibri" w:eastAsia="Calibri" w:hAnsi="Calibri"/>
                      <w:sz w:val="22"/>
                      <w:szCs w:val="22"/>
                    </w:rPr>
                  </w:pPr>
                  <w:r w:rsidRPr="00EB3ED5">
                    <w:rPr>
                      <w:rFonts w:ascii="Times New Roman" w:eastAsia="SimSun" w:hAnsi="Times New Roman"/>
                      <w:noProof/>
                      <w:color w:val="0000FF"/>
                      <w:sz w:val="24"/>
                      <w:szCs w:val="24"/>
                      <w:lang w:bidi="ar-SA"/>
                    </w:rPr>
                    <w:drawing>
                      <wp:inline distT="0" distB="0" distL="0" distR="0" wp14:anchorId="3D0ADDCA" wp14:editId="64EB5C88">
                        <wp:extent cx="191135" cy="191135"/>
                        <wp:effectExtent l="0" t="0" r="0" b="0"/>
                        <wp:docPr id="6" name="Imagen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97556E" w:rsidRPr="00EB3ED5" w:rsidRDefault="0097556E" w:rsidP="00073FD7">
                  <w:pPr>
                    <w:rPr>
                      <w:rFonts w:ascii="Calibri" w:eastAsia="Calibri" w:hAnsi="Calibri"/>
                      <w:sz w:val="22"/>
                      <w:szCs w:val="22"/>
                    </w:rPr>
                  </w:pPr>
                  <w:r w:rsidRPr="00EB3ED5">
                    <w:rPr>
                      <w:rFonts w:ascii="Times New Roman" w:eastAsia="SimSun" w:hAnsi="Times New Roman"/>
                      <w:noProof/>
                      <w:color w:val="0000FF"/>
                      <w:sz w:val="24"/>
                      <w:szCs w:val="24"/>
                      <w:lang w:bidi="ar-SA"/>
                    </w:rPr>
                    <w:drawing>
                      <wp:inline distT="0" distB="0" distL="0" distR="0" wp14:anchorId="3449B88E" wp14:editId="0B39EFB0">
                        <wp:extent cx="191135" cy="191135"/>
                        <wp:effectExtent l="0" t="0" r="0" b="0"/>
                        <wp:docPr id="7" name="Imagen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97556E" w:rsidRPr="00EB3ED5" w:rsidRDefault="0097556E" w:rsidP="00073FD7">
                  <w:pPr>
                    <w:rPr>
                      <w:rFonts w:ascii="Calibri" w:eastAsia="Calibri" w:hAnsi="Calibri"/>
                      <w:sz w:val="22"/>
                      <w:szCs w:val="22"/>
                    </w:rPr>
                  </w:pPr>
                  <w:r w:rsidRPr="00EB3ED5">
                    <w:rPr>
                      <w:rFonts w:ascii="Times New Roman" w:eastAsia="SimSun" w:hAnsi="Times New Roman"/>
                      <w:noProof/>
                      <w:color w:val="0000FF"/>
                      <w:sz w:val="24"/>
                      <w:szCs w:val="24"/>
                      <w:lang w:bidi="ar-SA"/>
                    </w:rPr>
                    <w:drawing>
                      <wp:inline distT="0" distB="0" distL="0" distR="0" wp14:anchorId="48ACED15" wp14:editId="2D1016AC">
                        <wp:extent cx="191135" cy="191135"/>
                        <wp:effectExtent l="0" t="0" r="0" b="0"/>
                        <wp:docPr id="8"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97556E" w:rsidRPr="00EB3ED5" w:rsidRDefault="0097556E" w:rsidP="00073FD7">
            <w:pPr>
              <w:rPr>
                <w:rFonts w:ascii="Times New Roman" w:eastAsia="SimSun" w:hAnsi="Times New Roman"/>
                <w:sz w:val="20"/>
              </w:rPr>
            </w:pPr>
          </w:p>
        </w:tc>
        <w:tc>
          <w:tcPr>
            <w:tcW w:w="130" w:type="dxa"/>
            <w:vAlign w:val="center"/>
            <w:hideMark/>
          </w:tcPr>
          <w:p w:rsidR="0097556E" w:rsidRPr="00EB3ED5" w:rsidRDefault="0097556E" w:rsidP="00073FD7">
            <w:pPr>
              <w:rPr>
                <w:rFonts w:ascii="Calibri" w:eastAsia="Calibri" w:hAnsi="Calibri"/>
                <w:sz w:val="22"/>
                <w:szCs w:val="22"/>
              </w:rPr>
            </w:pPr>
            <w:r w:rsidRPr="00EB3ED5">
              <w:rPr>
                <w:rFonts w:ascii="Times New Roman" w:eastAsia="SimSun" w:hAnsi="Times New Roman"/>
                <w:sz w:val="20"/>
              </w:rPr>
              <w:t> </w:t>
            </w:r>
          </w:p>
        </w:tc>
        <w:tc>
          <w:tcPr>
            <w:tcW w:w="226" w:type="dxa"/>
            <w:vAlign w:val="center"/>
            <w:hideMark/>
          </w:tcPr>
          <w:p w:rsidR="0097556E" w:rsidRPr="00EB3ED5" w:rsidRDefault="0097556E" w:rsidP="00073FD7">
            <w:pPr>
              <w:rPr>
                <w:rFonts w:ascii="Calibri" w:eastAsia="Calibri" w:hAnsi="Calibri"/>
                <w:sz w:val="22"/>
                <w:szCs w:val="22"/>
              </w:rPr>
            </w:pPr>
            <w:r w:rsidRPr="00EB3ED5">
              <w:rPr>
                <w:rFonts w:ascii="Times New Roman" w:eastAsia="SimSun" w:hAnsi="Times New Roman"/>
                <w:sz w:val="20"/>
              </w:rPr>
              <w:t> </w:t>
            </w:r>
          </w:p>
        </w:tc>
        <w:tc>
          <w:tcPr>
            <w:tcW w:w="5867" w:type="dxa"/>
            <w:vAlign w:val="center"/>
            <w:hideMark/>
          </w:tcPr>
          <w:p w:rsidR="0097556E" w:rsidRPr="00EB3ED5" w:rsidRDefault="0097556E" w:rsidP="00073FD7">
            <w:pPr>
              <w:rPr>
                <w:rFonts w:ascii="Calibri" w:eastAsia="Calibri" w:hAnsi="Calibri"/>
                <w:sz w:val="22"/>
                <w:szCs w:val="22"/>
              </w:rPr>
            </w:pPr>
            <w:r w:rsidRPr="00EB3ED5">
              <w:rPr>
                <w:rFonts w:ascii="Verdana" w:eastAsia="SimSun" w:hAnsi="Verdana"/>
              </w:rPr>
              <w:t> </w:t>
            </w:r>
            <w:hyperlink r:id="rId21" w:history="1"/>
          </w:p>
        </w:tc>
      </w:tr>
      <w:tr w:rsidR="00197D07" w:rsidRPr="00245A1D" w:rsidTr="00D067C0">
        <w:trPr>
          <w:trHeight w:val="1370"/>
          <w:tblCellSpacing w:w="0" w:type="dxa"/>
          <w:hidden/>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245A1D" w:rsidTr="00D067C0">
              <w:trPr>
                <w:trHeight w:val="442"/>
                <w:tblCellSpacing w:w="0" w:type="dxa"/>
                <w:hidden/>
              </w:trPr>
              <w:tc>
                <w:tcPr>
                  <w:tcW w:w="570" w:type="dxa"/>
                  <w:vAlign w:val="center"/>
                  <w:hideMark/>
                </w:tcPr>
                <w:p w:rsidR="00197D07" w:rsidRPr="00245A1D" w:rsidRDefault="00A01F0E" w:rsidP="0097556E">
                  <w:pPr>
                    <w:jc w:val="both"/>
                    <w:rPr>
                      <w:rFonts w:ascii="Calibri" w:eastAsia="Calibri" w:hAnsi="Calibri"/>
                      <w:vanish/>
                      <w:sz w:val="22"/>
                      <w:szCs w:val="22"/>
                    </w:rPr>
                  </w:pPr>
                  <w:r w:rsidRPr="00245A1D">
                    <w:rPr>
                      <w:noProof/>
                      <w:vanish/>
                      <w:lang w:bidi="ar-SA"/>
                    </w:rPr>
                    <w:drawing>
                      <wp:inline distT="0" distB="0" distL="0" distR="0" wp14:anchorId="385C29F0" wp14:editId="42C19E0D">
                        <wp:extent cx="190500" cy="190500"/>
                        <wp:effectExtent l="0" t="0" r="0" b="0"/>
                        <wp:docPr id="15" name="Imagen 15"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245A1D" w:rsidRDefault="00197D07" w:rsidP="0097556E">
                  <w:pPr>
                    <w:jc w:val="both"/>
                    <w:rPr>
                      <w:rFonts w:ascii="Calibri" w:eastAsia="Calibri" w:hAnsi="Calibri"/>
                      <w:vanish/>
                      <w:sz w:val="22"/>
                      <w:szCs w:val="22"/>
                    </w:rPr>
                  </w:pPr>
                  <w:r w:rsidRPr="00245A1D">
                    <w:rPr>
                      <w:rFonts w:ascii="Times New Roman" w:hAnsi="Times New Roman"/>
                      <w:noProof/>
                      <w:vanish/>
                      <w:color w:val="0000FF"/>
                      <w:sz w:val="24"/>
                      <w:szCs w:val="24"/>
                      <w:lang w:bidi="ar-SA"/>
                    </w:rPr>
                    <w:drawing>
                      <wp:inline distT="0" distB="0" distL="0" distR="0" wp14:anchorId="18D9259A" wp14:editId="5D84465B">
                        <wp:extent cx="190500" cy="190500"/>
                        <wp:effectExtent l="0" t="0" r="0" b="0"/>
                        <wp:docPr id="14" name="Imagen 14" descr="cid:image002.gif@01D123A8.097F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6" r:link="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245A1D" w:rsidRDefault="00197D07" w:rsidP="0097556E">
                  <w:pPr>
                    <w:jc w:val="both"/>
                    <w:rPr>
                      <w:rFonts w:ascii="Calibri" w:eastAsia="Calibri" w:hAnsi="Calibri"/>
                      <w:vanish/>
                      <w:sz w:val="22"/>
                      <w:szCs w:val="22"/>
                    </w:rPr>
                  </w:pPr>
                  <w:r w:rsidRPr="00245A1D">
                    <w:rPr>
                      <w:rFonts w:ascii="Times New Roman" w:hAnsi="Times New Roman"/>
                      <w:noProof/>
                      <w:vanish/>
                      <w:color w:val="0000FF"/>
                      <w:sz w:val="24"/>
                      <w:szCs w:val="24"/>
                      <w:lang w:bidi="ar-SA"/>
                    </w:rPr>
                    <w:drawing>
                      <wp:inline distT="0" distB="0" distL="0" distR="0" wp14:anchorId="368C00DA" wp14:editId="34098556">
                        <wp:extent cx="190500" cy="190500"/>
                        <wp:effectExtent l="0" t="0" r="0" b="0"/>
                        <wp:docPr id="13" name="Imagen 13" descr="cid:image003.gif@01D123A8.097F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8" r:link="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245A1D" w:rsidRDefault="00197D07" w:rsidP="0097556E">
                  <w:pPr>
                    <w:jc w:val="both"/>
                    <w:rPr>
                      <w:rFonts w:ascii="Calibri" w:eastAsia="Calibri" w:hAnsi="Calibri"/>
                      <w:vanish/>
                      <w:sz w:val="22"/>
                      <w:szCs w:val="22"/>
                    </w:rPr>
                  </w:pPr>
                  <w:r w:rsidRPr="00245A1D">
                    <w:rPr>
                      <w:rFonts w:ascii="Times New Roman" w:hAnsi="Times New Roman"/>
                      <w:noProof/>
                      <w:vanish/>
                      <w:color w:val="0000FF"/>
                      <w:sz w:val="24"/>
                      <w:szCs w:val="24"/>
                      <w:lang w:bidi="ar-SA"/>
                    </w:rPr>
                    <w:drawing>
                      <wp:inline distT="0" distB="0" distL="0" distR="0" wp14:anchorId="6C4CFB6C" wp14:editId="60564D80">
                        <wp:extent cx="190500" cy="190500"/>
                        <wp:effectExtent l="0" t="0" r="0" b="0"/>
                        <wp:docPr id="12" name="Imagen 12" descr="cid:image004.gif@01D123A8.097F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0" r:link="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197D07" w:rsidRPr="00245A1D" w:rsidRDefault="00197D07" w:rsidP="0097556E">
            <w:pPr>
              <w:jc w:val="both"/>
              <w:rPr>
                <w:rFonts w:ascii="Times New Roman" w:hAnsi="Times New Roman"/>
                <w:vanish/>
                <w:sz w:val="20"/>
              </w:rPr>
            </w:pPr>
          </w:p>
        </w:tc>
        <w:tc>
          <w:tcPr>
            <w:tcW w:w="130" w:type="dxa"/>
            <w:vAlign w:val="center"/>
            <w:hideMark/>
          </w:tcPr>
          <w:p w:rsidR="00197D07" w:rsidRPr="00245A1D" w:rsidRDefault="00197D07" w:rsidP="0097556E">
            <w:pPr>
              <w:jc w:val="both"/>
              <w:rPr>
                <w:rFonts w:ascii="Calibri" w:eastAsia="Calibri" w:hAnsi="Calibri"/>
                <w:vanish/>
                <w:sz w:val="22"/>
                <w:szCs w:val="22"/>
              </w:rPr>
            </w:pPr>
            <w:r w:rsidRPr="00245A1D">
              <w:rPr>
                <w:rFonts w:ascii="Times New Roman" w:hAnsi="Times New Roman"/>
                <w:vanish/>
                <w:sz w:val="20"/>
              </w:rPr>
              <w:t> </w:t>
            </w:r>
          </w:p>
        </w:tc>
        <w:tc>
          <w:tcPr>
            <w:tcW w:w="226" w:type="dxa"/>
            <w:vAlign w:val="center"/>
            <w:hideMark/>
          </w:tcPr>
          <w:p w:rsidR="00197D07" w:rsidRPr="00245A1D" w:rsidRDefault="00197D07" w:rsidP="0097556E">
            <w:pPr>
              <w:jc w:val="both"/>
              <w:rPr>
                <w:rFonts w:ascii="Calibri" w:eastAsia="Calibri" w:hAnsi="Calibri"/>
                <w:vanish/>
                <w:sz w:val="22"/>
                <w:szCs w:val="22"/>
              </w:rPr>
            </w:pPr>
            <w:r w:rsidRPr="00245A1D">
              <w:rPr>
                <w:rFonts w:ascii="Times New Roman" w:hAnsi="Times New Roman"/>
                <w:vanish/>
                <w:sz w:val="20"/>
              </w:rPr>
              <w:t> </w:t>
            </w:r>
          </w:p>
        </w:tc>
        <w:tc>
          <w:tcPr>
            <w:tcW w:w="5867" w:type="dxa"/>
            <w:vAlign w:val="center"/>
            <w:hideMark/>
          </w:tcPr>
          <w:p w:rsidR="00197D07" w:rsidRPr="00245A1D" w:rsidRDefault="00197D07" w:rsidP="0097556E">
            <w:pPr>
              <w:jc w:val="both"/>
              <w:rPr>
                <w:rFonts w:ascii="Calibri" w:eastAsia="Calibri" w:hAnsi="Calibri"/>
                <w:vanish/>
                <w:sz w:val="22"/>
                <w:szCs w:val="22"/>
              </w:rPr>
            </w:pPr>
            <w:r w:rsidRPr="00245A1D">
              <w:rPr>
                <w:rFonts w:ascii="Verdana" w:hAnsi="Verdana"/>
                <w:vanish/>
              </w:rPr>
              <w:t> </w:t>
            </w:r>
          </w:p>
        </w:tc>
      </w:tr>
    </w:tbl>
    <w:p w:rsidR="0097556E" w:rsidRDefault="0097556E" w:rsidP="002F505C">
      <w:pPr>
        <w:jc w:val="both"/>
        <w:rPr>
          <w:rFonts w:eastAsia="SimSun"/>
          <w:i/>
          <w:iCs/>
          <w:sz w:val="16"/>
          <w:szCs w:val="16"/>
          <w:lang w:eastAsia="it-IT" w:bidi="ar-SA"/>
        </w:rPr>
      </w:pPr>
    </w:p>
    <w:p w:rsidR="002F505C" w:rsidRPr="00245A1D" w:rsidRDefault="002F505C" w:rsidP="002F505C">
      <w:pPr>
        <w:jc w:val="both"/>
        <w:rPr>
          <w:rFonts w:eastAsia="SimSun"/>
          <w:i/>
          <w:iCs/>
          <w:sz w:val="16"/>
          <w:szCs w:val="16"/>
          <w:lang w:eastAsia="it-IT" w:bidi="ar-SA"/>
        </w:rPr>
      </w:pPr>
      <w:r w:rsidRPr="00245A1D">
        <w:rPr>
          <w:rFonts w:eastAsia="SimSun"/>
          <w:i/>
          <w:iCs/>
          <w:sz w:val="16"/>
          <w:szCs w:val="16"/>
          <w:lang w:eastAsia="it-IT" w:bidi="ar-SA"/>
        </w:rPr>
        <w:t>C</w:t>
      </w:r>
      <w:r w:rsidR="0097556E">
        <w:rPr>
          <w:rFonts w:eastAsia="SimSun"/>
          <w:i/>
          <w:iCs/>
          <w:sz w:val="16"/>
          <w:szCs w:val="16"/>
          <w:lang w:eastAsia="it-IT" w:bidi="ar-SA"/>
        </w:rPr>
        <w:t>ASE</w:t>
      </w:r>
      <w:r w:rsidRPr="00245A1D">
        <w:rPr>
          <w:rFonts w:eastAsia="SimSun"/>
          <w:i/>
          <w:iCs/>
          <w:sz w:val="16"/>
          <w:szCs w:val="16"/>
          <w:lang w:eastAsia="it-IT" w:bidi="ar-SA"/>
        </w:rPr>
        <w:t xml:space="preserve"> </w:t>
      </w:r>
      <w:proofErr w:type="spellStart"/>
      <w:r w:rsidRPr="00245A1D">
        <w:rPr>
          <w:rFonts w:eastAsia="SimSun"/>
          <w:i/>
          <w:iCs/>
          <w:sz w:val="16"/>
          <w:szCs w:val="16"/>
          <w:lang w:eastAsia="it-IT" w:bidi="ar-SA"/>
        </w:rPr>
        <w:t>Construction</w:t>
      </w:r>
      <w:proofErr w:type="spellEnd"/>
      <w:r w:rsidRPr="00245A1D">
        <w:rPr>
          <w:rFonts w:eastAsia="SimSun"/>
          <w:i/>
          <w:iCs/>
          <w:sz w:val="16"/>
          <w:szCs w:val="16"/>
          <w:lang w:eastAsia="it-IT" w:bidi="ar-SA"/>
        </w:rPr>
        <w:t xml:space="preserve"> </w:t>
      </w:r>
      <w:proofErr w:type="spellStart"/>
      <w:r w:rsidRPr="00245A1D">
        <w:rPr>
          <w:rFonts w:eastAsia="SimSun"/>
          <w:i/>
          <w:iCs/>
          <w:sz w:val="16"/>
          <w:szCs w:val="16"/>
          <w:lang w:eastAsia="it-IT" w:bidi="ar-SA"/>
        </w:rPr>
        <w:t>Equipment</w:t>
      </w:r>
      <w:proofErr w:type="spellEnd"/>
      <w:r w:rsidRPr="00245A1D">
        <w:rPr>
          <w:rFonts w:eastAsia="SimSun"/>
          <w:i/>
          <w:iCs/>
          <w:sz w:val="16"/>
          <w:szCs w:val="16"/>
          <w:lang w:eastAsia="it-IT" w:bidi="ar-SA"/>
        </w:rPr>
        <w:t xml:space="preserve"> vende y mantiene una línea completa de maquinaria de construcción en todo el mundo, que incluye el nº 1 en </w:t>
      </w:r>
      <w:proofErr w:type="spellStart"/>
      <w:r w:rsidRPr="00245A1D">
        <w:rPr>
          <w:rFonts w:eastAsia="SimSun"/>
          <w:i/>
          <w:iCs/>
          <w:sz w:val="16"/>
          <w:szCs w:val="16"/>
          <w:lang w:eastAsia="it-IT" w:bidi="ar-SA"/>
        </w:rPr>
        <w:t>retrocargadoras</w:t>
      </w:r>
      <w:proofErr w:type="spellEnd"/>
      <w:r w:rsidRPr="00245A1D">
        <w:rPr>
          <w:rFonts w:eastAsia="SimSun"/>
          <w:i/>
          <w:iCs/>
          <w:sz w:val="16"/>
          <w:szCs w:val="16"/>
          <w:lang w:eastAsia="it-IT" w:bidi="ar-SA"/>
        </w:rPr>
        <w:t xml:space="preserve">, excavadoras, motoniveladoras, cargadoras de neumáticos, rodillos vibradores de compactación, </w:t>
      </w:r>
      <w:proofErr w:type="spellStart"/>
      <w:r w:rsidRPr="00245A1D">
        <w:rPr>
          <w:rFonts w:eastAsia="SimSun"/>
          <w:i/>
          <w:iCs/>
          <w:sz w:val="16"/>
          <w:szCs w:val="16"/>
          <w:lang w:eastAsia="it-IT" w:bidi="ar-SA"/>
        </w:rPr>
        <w:t>dozers</w:t>
      </w:r>
      <w:proofErr w:type="spellEnd"/>
      <w:r w:rsidRPr="00245A1D">
        <w:rPr>
          <w:rFonts w:eastAsia="SimSun"/>
          <w:i/>
          <w:iCs/>
          <w:sz w:val="16"/>
          <w:szCs w:val="16"/>
          <w:lang w:eastAsia="it-IT" w:bidi="ar-SA"/>
        </w:rPr>
        <w:t xml:space="preserve"> de cadenas, </w:t>
      </w:r>
      <w:proofErr w:type="spellStart"/>
      <w:r w:rsidRPr="00245A1D">
        <w:rPr>
          <w:rFonts w:eastAsia="SimSun"/>
          <w:i/>
          <w:iCs/>
          <w:sz w:val="16"/>
          <w:szCs w:val="16"/>
          <w:lang w:eastAsia="it-IT" w:bidi="ar-SA"/>
        </w:rPr>
        <w:t>minicargadoras</w:t>
      </w:r>
      <w:proofErr w:type="spellEnd"/>
      <w:r w:rsidRPr="00245A1D">
        <w:rPr>
          <w:rFonts w:eastAsia="SimSun"/>
          <w:i/>
          <w:iCs/>
          <w:sz w:val="16"/>
          <w:szCs w:val="16"/>
          <w:lang w:eastAsia="it-IT" w:bidi="ar-SA"/>
        </w:rPr>
        <w:t>, cargadoras compactas de cadenas y carretillas elevadoras todoterreno. A través de los concesionarios C</w:t>
      </w:r>
      <w:r w:rsidR="0097556E">
        <w:rPr>
          <w:rFonts w:eastAsia="SimSun"/>
          <w:i/>
          <w:iCs/>
          <w:sz w:val="16"/>
          <w:szCs w:val="16"/>
          <w:lang w:eastAsia="it-IT" w:bidi="ar-SA"/>
        </w:rPr>
        <w:t>ASE</w:t>
      </w:r>
      <w:r w:rsidRPr="00245A1D">
        <w:rPr>
          <w:rFonts w:eastAsia="SimSun"/>
          <w:i/>
          <w:iCs/>
          <w:sz w:val="16"/>
          <w:szCs w:val="16"/>
          <w:lang w:eastAsia="it-IT" w:bidi="ar-SA"/>
        </w:rPr>
        <w:t xml:space="preserve">, los clientes tienen acceso a un auténtico socio profesional con equipo y servicio postventa de categoría internacional, garantías líderes del sector y financiación flexible. Encontrará más información en </w:t>
      </w:r>
      <w:hyperlink r:id="rId26" w:history="1">
        <w:r w:rsidRPr="00245A1D">
          <w:rPr>
            <w:rFonts w:eastAsia="SimSun"/>
            <w:i/>
            <w:iCs/>
            <w:color w:val="0000FF"/>
            <w:u w:val="single"/>
            <w:lang w:eastAsia="it-IT" w:bidi="ar-SA"/>
          </w:rPr>
          <w:t>www.casece.com</w:t>
        </w:r>
      </w:hyperlink>
      <w:r w:rsidRPr="00245A1D">
        <w:rPr>
          <w:rFonts w:eastAsia="SimSun"/>
          <w:i/>
          <w:iCs/>
          <w:sz w:val="16"/>
          <w:szCs w:val="16"/>
          <w:lang w:eastAsia="it-IT" w:bidi="ar-SA"/>
        </w:rPr>
        <w:t>.</w:t>
      </w:r>
    </w:p>
    <w:p w:rsidR="0097556E" w:rsidRDefault="002F505C" w:rsidP="002F505C">
      <w:pPr>
        <w:jc w:val="both"/>
        <w:rPr>
          <w:rFonts w:eastAsia="SimSun"/>
          <w:i/>
          <w:iCs/>
          <w:color w:val="0000FF"/>
          <w:u w:val="single"/>
          <w:lang w:eastAsia="it-IT" w:bidi="ar-SA"/>
        </w:rPr>
      </w:pPr>
      <w:r w:rsidRPr="00245A1D">
        <w:rPr>
          <w:rFonts w:eastAsia="SimSun"/>
          <w:i/>
          <w:iCs/>
          <w:sz w:val="16"/>
          <w:szCs w:val="16"/>
          <w:lang w:eastAsia="it-IT" w:bidi="ar-SA"/>
        </w:rPr>
        <w:t>C</w:t>
      </w:r>
      <w:r w:rsidR="0097556E">
        <w:rPr>
          <w:rFonts w:eastAsia="SimSun"/>
          <w:i/>
          <w:iCs/>
          <w:sz w:val="16"/>
          <w:szCs w:val="16"/>
          <w:lang w:eastAsia="it-IT" w:bidi="ar-SA"/>
        </w:rPr>
        <w:t xml:space="preserve">ASE </w:t>
      </w:r>
      <w:proofErr w:type="spellStart"/>
      <w:r w:rsidRPr="00245A1D">
        <w:rPr>
          <w:rFonts w:eastAsia="SimSun"/>
          <w:i/>
          <w:iCs/>
          <w:sz w:val="16"/>
          <w:szCs w:val="16"/>
          <w:lang w:eastAsia="it-IT" w:bidi="ar-SA"/>
        </w:rPr>
        <w:t>Construction</w:t>
      </w:r>
      <w:proofErr w:type="spellEnd"/>
      <w:r w:rsidRPr="00245A1D">
        <w:rPr>
          <w:rFonts w:eastAsia="SimSun"/>
          <w:i/>
          <w:iCs/>
          <w:sz w:val="16"/>
          <w:szCs w:val="16"/>
          <w:lang w:eastAsia="it-IT" w:bidi="ar-SA"/>
        </w:rPr>
        <w:t xml:space="preserve"> </w:t>
      </w:r>
      <w:proofErr w:type="spellStart"/>
      <w:r w:rsidRPr="00245A1D">
        <w:rPr>
          <w:rFonts w:eastAsia="SimSun"/>
          <w:i/>
          <w:iCs/>
          <w:sz w:val="16"/>
          <w:szCs w:val="16"/>
          <w:lang w:eastAsia="it-IT" w:bidi="ar-SA"/>
        </w:rPr>
        <w:t>Equipment</w:t>
      </w:r>
      <w:proofErr w:type="spellEnd"/>
      <w:r w:rsidRPr="00245A1D">
        <w:rPr>
          <w:rFonts w:eastAsia="SimSun"/>
          <w:i/>
          <w:iCs/>
          <w:sz w:val="16"/>
          <w:szCs w:val="16"/>
          <w:lang w:eastAsia="it-IT" w:bidi="ar-SA"/>
        </w:rPr>
        <w:t xml:space="preserve"> es una marca de CNH Industrial N.V., </w:t>
      </w:r>
      <w:r w:rsidRPr="00245A1D">
        <w:rPr>
          <w:rFonts w:eastAsia="SimSun" w:cs="Arial"/>
          <w:i/>
          <w:iCs/>
          <w:sz w:val="16"/>
          <w:szCs w:val="16"/>
          <w:lang w:eastAsia="it-IT" w:bidi="ar-SA"/>
        </w:rPr>
        <w:t>líder mundial en bienes de equipo,</w:t>
      </w:r>
      <w:r w:rsidRPr="00245A1D">
        <w:rPr>
          <w:rFonts w:eastAsia="SimSun"/>
          <w:i/>
          <w:iCs/>
          <w:sz w:val="16"/>
          <w:szCs w:val="16"/>
          <w:lang w:eastAsia="it-IT" w:bidi="ar-SA"/>
        </w:rPr>
        <w:t xml:space="preserve"> cuyas acciones cotizan en la Bolsa de Nueva York (NYSE: CNH) y en el</w:t>
      </w:r>
      <w:r w:rsidR="00245A1D">
        <w:rPr>
          <w:rFonts w:eastAsia="SimSun"/>
          <w:i/>
          <w:iCs/>
          <w:sz w:val="16"/>
          <w:szCs w:val="16"/>
          <w:lang w:eastAsia="it-IT" w:bidi="ar-SA"/>
        </w:rPr>
        <w:t xml:space="preserve"> </w:t>
      </w:r>
      <w:proofErr w:type="spellStart"/>
      <w:r w:rsidRPr="00245A1D">
        <w:rPr>
          <w:rFonts w:eastAsia="SimSun"/>
          <w:i/>
          <w:iCs/>
          <w:sz w:val="16"/>
          <w:szCs w:val="16"/>
          <w:lang w:eastAsia="it-IT" w:bidi="ar-SA"/>
        </w:rPr>
        <w:t>Mercato</w:t>
      </w:r>
      <w:proofErr w:type="spellEnd"/>
      <w:r w:rsidRPr="00245A1D">
        <w:rPr>
          <w:rFonts w:eastAsia="SimSun"/>
          <w:i/>
          <w:iCs/>
          <w:sz w:val="16"/>
          <w:szCs w:val="16"/>
          <w:lang w:eastAsia="it-IT" w:bidi="ar-SA"/>
        </w:rPr>
        <w:t xml:space="preserve"> </w:t>
      </w:r>
      <w:proofErr w:type="spellStart"/>
      <w:r w:rsidRPr="00245A1D">
        <w:rPr>
          <w:rFonts w:eastAsia="SimSun"/>
          <w:i/>
          <w:iCs/>
          <w:sz w:val="16"/>
          <w:szCs w:val="16"/>
          <w:lang w:eastAsia="it-IT" w:bidi="ar-SA"/>
        </w:rPr>
        <w:t>Telematico</w:t>
      </w:r>
      <w:proofErr w:type="spellEnd"/>
      <w:r w:rsidRPr="00245A1D">
        <w:rPr>
          <w:rFonts w:eastAsia="SimSun"/>
          <w:i/>
          <w:iCs/>
          <w:sz w:val="16"/>
          <w:szCs w:val="16"/>
          <w:lang w:eastAsia="it-IT" w:bidi="ar-SA"/>
        </w:rPr>
        <w:t xml:space="preserve"> </w:t>
      </w:r>
      <w:proofErr w:type="spellStart"/>
      <w:r w:rsidRPr="00245A1D">
        <w:rPr>
          <w:rFonts w:eastAsia="SimSun"/>
          <w:i/>
          <w:iCs/>
          <w:sz w:val="16"/>
          <w:szCs w:val="16"/>
          <w:lang w:eastAsia="it-IT" w:bidi="ar-SA"/>
        </w:rPr>
        <w:t>Azionario</w:t>
      </w:r>
      <w:proofErr w:type="spellEnd"/>
      <w:r w:rsidRPr="00245A1D">
        <w:rPr>
          <w:rFonts w:eastAsia="SimSun"/>
          <w:i/>
          <w:iCs/>
          <w:sz w:val="16"/>
          <w:szCs w:val="16"/>
          <w:lang w:eastAsia="it-IT" w:bidi="ar-SA"/>
        </w:rPr>
        <w:t xml:space="preserve"> de la Bolsa Italiana (MI: CNHI). Encontrará más información sobre CNH</w:t>
      </w:r>
      <w:r w:rsidR="00245A1D">
        <w:rPr>
          <w:rFonts w:eastAsia="SimSun"/>
          <w:i/>
          <w:iCs/>
          <w:sz w:val="16"/>
          <w:szCs w:val="16"/>
          <w:lang w:eastAsia="it-IT" w:bidi="ar-SA"/>
        </w:rPr>
        <w:t xml:space="preserve"> </w:t>
      </w:r>
      <w:r w:rsidRPr="00245A1D">
        <w:rPr>
          <w:rFonts w:eastAsia="SimSun"/>
          <w:i/>
          <w:iCs/>
          <w:sz w:val="16"/>
          <w:szCs w:val="16"/>
          <w:lang w:eastAsia="it-IT" w:bidi="ar-SA"/>
        </w:rPr>
        <w:t xml:space="preserve">Industrial en la página web </w:t>
      </w:r>
      <w:hyperlink r:id="rId27" w:history="1">
        <w:r w:rsidRPr="00245A1D">
          <w:rPr>
            <w:rFonts w:eastAsia="SimSun"/>
            <w:i/>
            <w:iCs/>
            <w:color w:val="0000FF"/>
            <w:u w:val="single"/>
            <w:lang w:eastAsia="it-IT" w:bidi="ar-SA"/>
          </w:rPr>
          <w:t>www.cnhindustrial.com</w:t>
        </w:r>
      </w:hyperlink>
      <w:r w:rsidR="0097556E">
        <w:rPr>
          <w:rFonts w:eastAsia="SimSun"/>
          <w:i/>
          <w:iCs/>
          <w:color w:val="0000FF"/>
          <w:u w:val="single"/>
          <w:lang w:eastAsia="it-IT" w:bidi="ar-SA"/>
        </w:rPr>
        <w:t>.</w:t>
      </w:r>
    </w:p>
    <w:p w:rsidR="0097556E" w:rsidRDefault="0097556E" w:rsidP="002F505C">
      <w:pPr>
        <w:jc w:val="both"/>
        <w:rPr>
          <w:rFonts w:eastAsia="SimSun"/>
          <w:i/>
          <w:iCs/>
          <w:color w:val="0000FF"/>
          <w:u w:val="single"/>
          <w:lang w:eastAsia="it-IT" w:bidi="ar-SA"/>
        </w:rPr>
      </w:pPr>
    </w:p>
    <w:p w:rsidR="0097556E" w:rsidRDefault="0097556E" w:rsidP="002F505C">
      <w:pPr>
        <w:jc w:val="both"/>
        <w:rPr>
          <w:rFonts w:eastAsia="SimSun"/>
          <w:i/>
          <w:iCs/>
          <w:color w:val="0000FF"/>
          <w:u w:val="single"/>
          <w:lang w:eastAsia="it-IT" w:bidi="ar-SA"/>
        </w:rPr>
      </w:pPr>
    </w:p>
    <w:p w:rsidR="00197D07" w:rsidRPr="00245A1D" w:rsidRDefault="00197D07" w:rsidP="0097556E">
      <w:pPr>
        <w:jc w:val="both"/>
        <w:rPr>
          <w:rFonts w:cs="Arial"/>
          <w:i/>
          <w:vanish/>
          <w:sz w:val="16"/>
          <w:szCs w:val="16"/>
        </w:rPr>
      </w:pPr>
    </w:p>
    <w:p w:rsidR="00197D07" w:rsidRPr="00245A1D" w:rsidRDefault="00197D07" w:rsidP="0097556E">
      <w:pPr>
        <w:pStyle w:val="style2"/>
        <w:spacing w:before="0" w:beforeAutospacing="0" w:after="0" w:afterAutospacing="0" w:line="300" w:lineRule="exact"/>
        <w:jc w:val="both"/>
        <w:rPr>
          <w:i/>
          <w:vanish/>
          <w:color w:val="auto"/>
          <w:sz w:val="16"/>
          <w:szCs w:val="16"/>
        </w:rPr>
      </w:pPr>
    </w:p>
    <w:p w:rsidR="001951A2" w:rsidRPr="00245A1D" w:rsidRDefault="001951A2" w:rsidP="0097556E">
      <w:pPr>
        <w:rPr>
          <w:b/>
          <w:vanish/>
        </w:rPr>
      </w:pPr>
    </w:p>
    <w:p w:rsidR="002F505C" w:rsidRPr="00245A1D" w:rsidRDefault="002F505C" w:rsidP="0097556E">
      <w:pPr>
        <w:rPr>
          <w:rFonts w:eastAsia="SimSun"/>
          <w:b/>
          <w:bCs/>
          <w:lang w:eastAsia="it-IT" w:bidi="ar-SA"/>
        </w:rPr>
      </w:pPr>
      <w:r w:rsidRPr="00245A1D">
        <w:rPr>
          <w:rFonts w:eastAsia="SimSun"/>
          <w:b/>
          <w:bCs/>
          <w:lang w:eastAsia="it-IT" w:bidi="ar-SA"/>
        </w:rPr>
        <w:t>Para más información, contactar con:</w:t>
      </w:r>
    </w:p>
    <w:p w:rsidR="002F505C" w:rsidRPr="00245A1D" w:rsidRDefault="002F505C" w:rsidP="0097556E">
      <w:pPr>
        <w:rPr>
          <w:rFonts w:eastAsia="SimSun"/>
          <w:lang w:eastAsia="it-IT" w:bidi="ar-SA"/>
        </w:rPr>
      </w:pPr>
    </w:p>
    <w:p w:rsidR="002F505C" w:rsidRPr="00AE6352" w:rsidRDefault="002F505C" w:rsidP="0097556E">
      <w:pPr>
        <w:rPr>
          <w:rFonts w:ascii="Helvetica" w:eastAsia="SimSun" w:hAnsi="Helvetica" w:cs="Helvetica"/>
          <w:sz w:val="20"/>
          <w:lang w:val="en-US" w:bidi="ar-SA"/>
        </w:rPr>
      </w:pPr>
      <w:r w:rsidRPr="00AE6352">
        <w:rPr>
          <w:rFonts w:eastAsia="SimSun"/>
          <w:lang w:val="en-US" w:eastAsia="it-IT" w:bidi="ar-SA"/>
        </w:rPr>
        <w:t>Nuria Martí (ALARCON &amp; HARRIS)</w:t>
      </w:r>
    </w:p>
    <w:p w:rsidR="002F505C" w:rsidRPr="00AE6352" w:rsidRDefault="002F505C" w:rsidP="0097556E">
      <w:pPr>
        <w:rPr>
          <w:rFonts w:eastAsia="SimSun" w:cs="Arial"/>
          <w:szCs w:val="19"/>
          <w:lang w:val="en-US" w:eastAsia="it-IT" w:bidi="ar-SA"/>
        </w:rPr>
      </w:pPr>
    </w:p>
    <w:p w:rsidR="002F505C" w:rsidRPr="00AE6352" w:rsidRDefault="002F505C" w:rsidP="0097556E">
      <w:pPr>
        <w:rPr>
          <w:rFonts w:eastAsia="SimSun"/>
          <w:lang w:val="en-US" w:eastAsia="it-IT" w:bidi="ar-SA"/>
        </w:rPr>
      </w:pPr>
      <w:r w:rsidRPr="00AE6352">
        <w:rPr>
          <w:rFonts w:eastAsia="SimSun"/>
          <w:lang w:val="en-US" w:eastAsia="it-IT" w:bidi="ar-SA"/>
        </w:rPr>
        <w:t>Tel: +34 91 415 30 20</w:t>
      </w:r>
    </w:p>
    <w:p w:rsidR="002F505C" w:rsidRPr="00AE6352" w:rsidRDefault="002F505C" w:rsidP="0097556E">
      <w:pPr>
        <w:rPr>
          <w:rFonts w:eastAsia="SimSun"/>
          <w:lang w:val="en-US" w:eastAsia="it-IT" w:bidi="ar-SA"/>
        </w:rPr>
      </w:pPr>
    </w:p>
    <w:p w:rsidR="000A4F6A" w:rsidRDefault="002F505C" w:rsidP="0097556E">
      <w:pPr>
        <w:jc w:val="both"/>
        <w:rPr>
          <w:rFonts w:eastAsia="SimSun"/>
          <w:color w:val="0000FF"/>
          <w:u w:val="single"/>
          <w:lang w:val="en-US" w:eastAsia="it-IT" w:bidi="ar-SA"/>
        </w:rPr>
      </w:pPr>
      <w:r w:rsidRPr="00AE6352">
        <w:rPr>
          <w:rFonts w:eastAsia="SimSun"/>
          <w:lang w:val="en-US" w:eastAsia="it-IT" w:bidi="ar-SA"/>
        </w:rPr>
        <w:t>Email:</w:t>
      </w:r>
      <w:r w:rsidR="0097556E">
        <w:rPr>
          <w:rFonts w:eastAsia="SimSun"/>
          <w:lang w:val="en-US" w:eastAsia="it-IT" w:bidi="ar-SA"/>
        </w:rPr>
        <w:t xml:space="preserve"> </w:t>
      </w:r>
      <w:r w:rsidR="0097556E">
        <w:rPr>
          <w:rFonts w:eastAsia="SimSun"/>
          <w:color w:val="0000FF"/>
          <w:u w:val="single"/>
          <w:lang w:val="en-US" w:eastAsia="it-IT" w:bidi="ar-SA"/>
        </w:rPr>
        <w:t xml:space="preserve">nmarti@alarconyharris.com </w:t>
      </w:r>
    </w:p>
    <w:p w:rsidR="0097556E" w:rsidRPr="00AE6352" w:rsidRDefault="0097556E" w:rsidP="002F505C">
      <w:pPr>
        <w:jc w:val="both"/>
        <w:rPr>
          <w:rFonts w:cs="Arial"/>
          <w:vanish/>
          <w:szCs w:val="19"/>
          <w:lang w:val="en-US"/>
        </w:rPr>
      </w:pPr>
    </w:p>
    <w:sectPr w:rsidR="0097556E" w:rsidRPr="00AE6352" w:rsidSect="00D01F1C">
      <w:headerReference w:type="default" r:id="rId28"/>
      <w:footerReference w:type="default" r:id="rId29"/>
      <w:headerReference w:type="first" r:id="rId30"/>
      <w:footerReference w:type="first" r:id="rId31"/>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B0" w:rsidRDefault="007764B0">
      <w:pPr>
        <w:spacing w:line="240" w:lineRule="auto"/>
      </w:pPr>
      <w:r>
        <w:separator/>
      </w:r>
    </w:p>
  </w:endnote>
  <w:endnote w:type="continuationSeparator" w:id="0">
    <w:p w:rsidR="007764B0" w:rsidRDefault="00776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6F" w:rsidRDefault="004E466F" w:rsidP="00D01F1C">
    <w:pPr>
      <w:pStyle w:val="Piedepgina"/>
    </w:pPr>
  </w:p>
  <w:p w:rsidR="004E466F" w:rsidRDefault="004E466F" w:rsidP="00D01F1C">
    <w:pPr>
      <w:pStyle w:val="Piedepgina"/>
    </w:pPr>
  </w:p>
  <w:p w:rsidR="004E466F" w:rsidRDefault="004E466F" w:rsidP="00D01F1C">
    <w:pPr>
      <w:pStyle w:val="Piedepgina"/>
    </w:pPr>
  </w:p>
  <w:p w:rsidR="004E466F" w:rsidRDefault="004E466F"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6F" w:rsidRPr="00C7201A" w:rsidRDefault="004E466F"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B0" w:rsidRDefault="007764B0">
      <w:pPr>
        <w:spacing w:line="240" w:lineRule="auto"/>
      </w:pPr>
      <w:r>
        <w:separator/>
      </w:r>
    </w:p>
  </w:footnote>
  <w:footnote w:type="continuationSeparator" w:id="0">
    <w:p w:rsidR="007764B0" w:rsidRDefault="00776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6F" w:rsidRDefault="004E466F" w:rsidP="00D01F1C">
    <w:r>
      <w:rPr>
        <w:noProof/>
        <w:lang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073AE4">
      <w:rPr>
        <w:noProof/>
        <w:lang w:bidi="ar-SA"/>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EXH&#10;VJc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E466F" w:rsidRPr="00C7201A">
      <w:trPr>
        <w:trHeight w:val="735"/>
      </w:trPr>
      <w:tc>
        <w:tcPr>
          <w:tcW w:w="2614" w:type="dxa"/>
          <w:shd w:val="clear" w:color="auto" w:fill="auto"/>
          <w:vAlign w:val="bottom"/>
        </w:tcPr>
        <w:p w:rsidR="004E466F" w:rsidRPr="00750ACB" w:rsidRDefault="004E466F" w:rsidP="00D01F1C">
          <w:pPr>
            <w:pStyle w:val="04FOOTER"/>
            <w:ind w:right="-101"/>
            <w:rPr>
              <w:sz w:val="14"/>
              <w:highlight w:val="yellow"/>
            </w:rPr>
          </w:pPr>
        </w:p>
      </w:tc>
      <w:tc>
        <w:tcPr>
          <w:tcW w:w="2835" w:type="dxa"/>
          <w:vAlign w:val="bottom"/>
        </w:tcPr>
        <w:p w:rsidR="004E466F" w:rsidRPr="00750ACB" w:rsidRDefault="004E466F" w:rsidP="00D01F1C">
          <w:pPr>
            <w:pStyle w:val="04FOOTER"/>
            <w:ind w:right="-101"/>
            <w:rPr>
              <w:sz w:val="14"/>
              <w:highlight w:val="yellow"/>
            </w:rPr>
          </w:pPr>
        </w:p>
      </w:tc>
      <w:tc>
        <w:tcPr>
          <w:tcW w:w="3360" w:type="dxa"/>
          <w:shd w:val="clear" w:color="auto" w:fill="auto"/>
          <w:vAlign w:val="bottom"/>
        </w:tcPr>
        <w:p w:rsidR="004E466F" w:rsidRPr="00750ACB" w:rsidRDefault="004E466F" w:rsidP="00D01F1C">
          <w:pPr>
            <w:pStyle w:val="04FOOTER"/>
            <w:ind w:right="-101"/>
            <w:rPr>
              <w:sz w:val="14"/>
              <w:highlight w:val="yellow"/>
            </w:rPr>
          </w:pPr>
        </w:p>
      </w:tc>
    </w:tr>
  </w:tbl>
  <w:p w:rsidR="004E466F" w:rsidRPr="00B32BE8" w:rsidRDefault="004E466F"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E466F">
      <w:trPr>
        <w:trHeight w:val="5211"/>
      </w:trPr>
      <w:tc>
        <w:tcPr>
          <w:tcW w:w="606" w:type="dxa"/>
          <w:shd w:val="clear" w:color="auto" w:fill="auto"/>
          <w:vAlign w:val="bottom"/>
        </w:tcPr>
        <w:p w:rsidR="004E466F" w:rsidRDefault="004E466F" w:rsidP="00D01F1C">
          <w:pPr>
            <w:pStyle w:val="01TESTO"/>
          </w:pPr>
          <w:r>
            <w:rPr>
              <w:noProof/>
              <w:lang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4E466F" w:rsidRDefault="004E466F" w:rsidP="00D01F1C">
    <w:r>
      <w:rPr>
        <w:noProof/>
        <w:lang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073AE4">
      <w:rPr>
        <w:noProof/>
        <w:lang w:bidi="ar-SA"/>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sidR="00073AE4">
      <w:rPr>
        <w:noProof/>
        <w:lang w:bidi="ar-SA"/>
      </w:rPr>
      <mc:AlternateContent>
        <mc:Choice Requires="wps">
          <w:drawing>
            <wp:anchor distT="4294967295" distB="4294967295"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567C"/>
    <w:rsid w:val="00017072"/>
    <w:rsid w:val="00021EE3"/>
    <w:rsid w:val="000222F2"/>
    <w:rsid w:val="00024426"/>
    <w:rsid w:val="00036197"/>
    <w:rsid w:val="0004651C"/>
    <w:rsid w:val="00047C96"/>
    <w:rsid w:val="00060289"/>
    <w:rsid w:val="0006477F"/>
    <w:rsid w:val="00065412"/>
    <w:rsid w:val="00073AE4"/>
    <w:rsid w:val="0008171E"/>
    <w:rsid w:val="00084336"/>
    <w:rsid w:val="000849DF"/>
    <w:rsid w:val="00084B1F"/>
    <w:rsid w:val="00084D26"/>
    <w:rsid w:val="0009610F"/>
    <w:rsid w:val="000A4F6A"/>
    <w:rsid w:val="000E1A7E"/>
    <w:rsid w:val="000E71CF"/>
    <w:rsid w:val="000E7733"/>
    <w:rsid w:val="000F2B17"/>
    <w:rsid w:val="000F5EE1"/>
    <w:rsid w:val="000F7DA3"/>
    <w:rsid w:val="00105F55"/>
    <w:rsid w:val="00117552"/>
    <w:rsid w:val="00120A22"/>
    <w:rsid w:val="00121E80"/>
    <w:rsid w:val="001229F3"/>
    <w:rsid w:val="00126D94"/>
    <w:rsid w:val="00132964"/>
    <w:rsid w:val="0014155B"/>
    <w:rsid w:val="00156BEB"/>
    <w:rsid w:val="00157752"/>
    <w:rsid w:val="001618D6"/>
    <w:rsid w:val="001642D7"/>
    <w:rsid w:val="00166BE9"/>
    <w:rsid w:val="00170B08"/>
    <w:rsid w:val="00171CD9"/>
    <w:rsid w:val="00173B3D"/>
    <w:rsid w:val="00174619"/>
    <w:rsid w:val="0017544B"/>
    <w:rsid w:val="00176432"/>
    <w:rsid w:val="001767F2"/>
    <w:rsid w:val="001841DA"/>
    <w:rsid w:val="00190060"/>
    <w:rsid w:val="00191B6C"/>
    <w:rsid w:val="00194B71"/>
    <w:rsid w:val="001951A2"/>
    <w:rsid w:val="00195CCA"/>
    <w:rsid w:val="00196F60"/>
    <w:rsid w:val="00197D07"/>
    <w:rsid w:val="001A37A3"/>
    <w:rsid w:val="001A39F8"/>
    <w:rsid w:val="001A3C66"/>
    <w:rsid w:val="001B5634"/>
    <w:rsid w:val="001C3014"/>
    <w:rsid w:val="001C7F3E"/>
    <w:rsid w:val="001D08A3"/>
    <w:rsid w:val="001D1C29"/>
    <w:rsid w:val="001E2AD0"/>
    <w:rsid w:val="001E3531"/>
    <w:rsid w:val="00221028"/>
    <w:rsid w:val="002248FC"/>
    <w:rsid w:val="00225E0B"/>
    <w:rsid w:val="0022691A"/>
    <w:rsid w:val="002272D1"/>
    <w:rsid w:val="00237128"/>
    <w:rsid w:val="0024223A"/>
    <w:rsid w:val="00245A1D"/>
    <w:rsid w:val="00263776"/>
    <w:rsid w:val="00273BE8"/>
    <w:rsid w:val="00282A60"/>
    <w:rsid w:val="00283150"/>
    <w:rsid w:val="002866E6"/>
    <w:rsid w:val="00287362"/>
    <w:rsid w:val="00293CEA"/>
    <w:rsid w:val="00295F5B"/>
    <w:rsid w:val="002A0272"/>
    <w:rsid w:val="002A0A55"/>
    <w:rsid w:val="002B0D45"/>
    <w:rsid w:val="002B4B2A"/>
    <w:rsid w:val="002C3099"/>
    <w:rsid w:val="002E0413"/>
    <w:rsid w:val="002E42D8"/>
    <w:rsid w:val="002F505C"/>
    <w:rsid w:val="002F6342"/>
    <w:rsid w:val="002F7342"/>
    <w:rsid w:val="002F74C3"/>
    <w:rsid w:val="00325CA3"/>
    <w:rsid w:val="00330590"/>
    <w:rsid w:val="00331886"/>
    <w:rsid w:val="00355070"/>
    <w:rsid w:val="003577EC"/>
    <w:rsid w:val="00363FE5"/>
    <w:rsid w:val="003761F5"/>
    <w:rsid w:val="00376E0D"/>
    <w:rsid w:val="003818E0"/>
    <w:rsid w:val="003835B0"/>
    <w:rsid w:val="003848BA"/>
    <w:rsid w:val="003925AD"/>
    <w:rsid w:val="00393DE4"/>
    <w:rsid w:val="00394194"/>
    <w:rsid w:val="003A25BD"/>
    <w:rsid w:val="003A7179"/>
    <w:rsid w:val="003B01A0"/>
    <w:rsid w:val="003B1753"/>
    <w:rsid w:val="003B6440"/>
    <w:rsid w:val="003B677A"/>
    <w:rsid w:val="003B68E3"/>
    <w:rsid w:val="003C1713"/>
    <w:rsid w:val="003C1A58"/>
    <w:rsid w:val="003C4F6A"/>
    <w:rsid w:val="003D21A6"/>
    <w:rsid w:val="003D224E"/>
    <w:rsid w:val="003D4B8A"/>
    <w:rsid w:val="003E30F0"/>
    <w:rsid w:val="003E6488"/>
    <w:rsid w:val="003E69C1"/>
    <w:rsid w:val="003F2BAE"/>
    <w:rsid w:val="003F3969"/>
    <w:rsid w:val="00410435"/>
    <w:rsid w:val="00415916"/>
    <w:rsid w:val="0042385C"/>
    <w:rsid w:val="0042559E"/>
    <w:rsid w:val="00426608"/>
    <w:rsid w:val="0043406A"/>
    <w:rsid w:val="00461F89"/>
    <w:rsid w:val="0046276A"/>
    <w:rsid w:val="004632B1"/>
    <w:rsid w:val="00463600"/>
    <w:rsid w:val="0046565A"/>
    <w:rsid w:val="00467BD4"/>
    <w:rsid w:val="00473E67"/>
    <w:rsid w:val="00474ED5"/>
    <w:rsid w:val="00477548"/>
    <w:rsid w:val="0048550D"/>
    <w:rsid w:val="00491B25"/>
    <w:rsid w:val="00493824"/>
    <w:rsid w:val="00495277"/>
    <w:rsid w:val="00496DE7"/>
    <w:rsid w:val="004A17E2"/>
    <w:rsid w:val="004A69F7"/>
    <w:rsid w:val="004B792F"/>
    <w:rsid w:val="004C1A8A"/>
    <w:rsid w:val="004C7C83"/>
    <w:rsid w:val="004D0018"/>
    <w:rsid w:val="004E27F6"/>
    <w:rsid w:val="004E466F"/>
    <w:rsid w:val="004E4796"/>
    <w:rsid w:val="004E5104"/>
    <w:rsid w:val="004E5787"/>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827F9"/>
    <w:rsid w:val="00582D6E"/>
    <w:rsid w:val="00582DC8"/>
    <w:rsid w:val="00592BA6"/>
    <w:rsid w:val="00595532"/>
    <w:rsid w:val="0059734F"/>
    <w:rsid w:val="005A5028"/>
    <w:rsid w:val="005A6C8C"/>
    <w:rsid w:val="005A73A9"/>
    <w:rsid w:val="005B0434"/>
    <w:rsid w:val="005B77F1"/>
    <w:rsid w:val="005C1E9F"/>
    <w:rsid w:val="005C5C46"/>
    <w:rsid w:val="005D0DFE"/>
    <w:rsid w:val="005D1D11"/>
    <w:rsid w:val="005D6457"/>
    <w:rsid w:val="005F2687"/>
    <w:rsid w:val="005F493A"/>
    <w:rsid w:val="005F5DC6"/>
    <w:rsid w:val="0060424F"/>
    <w:rsid w:val="00612508"/>
    <w:rsid w:val="006171CB"/>
    <w:rsid w:val="00617B37"/>
    <w:rsid w:val="00623E11"/>
    <w:rsid w:val="00632A9D"/>
    <w:rsid w:val="00634A12"/>
    <w:rsid w:val="0063533E"/>
    <w:rsid w:val="00637C30"/>
    <w:rsid w:val="0064142F"/>
    <w:rsid w:val="00646A70"/>
    <w:rsid w:val="0065024B"/>
    <w:rsid w:val="00652C19"/>
    <w:rsid w:val="006650AB"/>
    <w:rsid w:val="00666339"/>
    <w:rsid w:val="00682611"/>
    <w:rsid w:val="006835F8"/>
    <w:rsid w:val="006844E7"/>
    <w:rsid w:val="006866EF"/>
    <w:rsid w:val="006869DA"/>
    <w:rsid w:val="00687FC8"/>
    <w:rsid w:val="0069041B"/>
    <w:rsid w:val="006963E9"/>
    <w:rsid w:val="00697577"/>
    <w:rsid w:val="006A0FA2"/>
    <w:rsid w:val="006A102E"/>
    <w:rsid w:val="006A27EA"/>
    <w:rsid w:val="006B6661"/>
    <w:rsid w:val="006C1B2A"/>
    <w:rsid w:val="006E4181"/>
    <w:rsid w:val="006E4698"/>
    <w:rsid w:val="006E650B"/>
    <w:rsid w:val="006E75BF"/>
    <w:rsid w:val="006E7B23"/>
    <w:rsid w:val="006F63B3"/>
    <w:rsid w:val="00704A21"/>
    <w:rsid w:val="00707BB8"/>
    <w:rsid w:val="00711DE5"/>
    <w:rsid w:val="007145F8"/>
    <w:rsid w:val="00717CE2"/>
    <w:rsid w:val="00720E55"/>
    <w:rsid w:val="0072308B"/>
    <w:rsid w:val="007232C7"/>
    <w:rsid w:val="00723D5B"/>
    <w:rsid w:val="00725DED"/>
    <w:rsid w:val="0072724F"/>
    <w:rsid w:val="00732D13"/>
    <w:rsid w:val="00752F5C"/>
    <w:rsid w:val="00753F7C"/>
    <w:rsid w:val="0075642A"/>
    <w:rsid w:val="00757B78"/>
    <w:rsid w:val="00761C00"/>
    <w:rsid w:val="0076781F"/>
    <w:rsid w:val="0077205D"/>
    <w:rsid w:val="007764B0"/>
    <w:rsid w:val="007812B4"/>
    <w:rsid w:val="00784D02"/>
    <w:rsid w:val="00792C47"/>
    <w:rsid w:val="007A18B5"/>
    <w:rsid w:val="007B3B4C"/>
    <w:rsid w:val="007C2782"/>
    <w:rsid w:val="007C7733"/>
    <w:rsid w:val="007D04F6"/>
    <w:rsid w:val="007D0F92"/>
    <w:rsid w:val="007D39AD"/>
    <w:rsid w:val="007D6EBB"/>
    <w:rsid w:val="007E055A"/>
    <w:rsid w:val="007E126B"/>
    <w:rsid w:val="007E1AD8"/>
    <w:rsid w:val="007E50B9"/>
    <w:rsid w:val="007E6E58"/>
    <w:rsid w:val="007E6FAD"/>
    <w:rsid w:val="007F078C"/>
    <w:rsid w:val="007F2101"/>
    <w:rsid w:val="007F572A"/>
    <w:rsid w:val="008062BC"/>
    <w:rsid w:val="008222D0"/>
    <w:rsid w:val="00826CAC"/>
    <w:rsid w:val="008327F4"/>
    <w:rsid w:val="008416ED"/>
    <w:rsid w:val="008418A7"/>
    <w:rsid w:val="00847CCF"/>
    <w:rsid w:val="008510AB"/>
    <w:rsid w:val="00852ABE"/>
    <w:rsid w:val="008549A3"/>
    <w:rsid w:val="00857C2E"/>
    <w:rsid w:val="008632C3"/>
    <w:rsid w:val="00863785"/>
    <w:rsid w:val="0086570B"/>
    <w:rsid w:val="008665C1"/>
    <w:rsid w:val="00870317"/>
    <w:rsid w:val="00875FC4"/>
    <w:rsid w:val="00876FEA"/>
    <w:rsid w:val="00885D98"/>
    <w:rsid w:val="00890809"/>
    <w:rsid w:val="00892696"/>
    <w:rsid w:val="0089670D"/>
    <w:rsid w:val="008A14E0"/>
    <w:rsid w:val="008B1E9C"/>
    <w:rsid w:val="008B4C8B"/>
    <w:rsid w:val="008B608C"/>
    <w:rsid w:val="008C5AAC"/>
    <w:rsid w:val="008D4A64"/>
    <w:rsid w:val="008D7781"/>
    <w:rsid w:val="008E3ADA"/>
    <w:rsid w:val="008E6D38"/>
    <w:rsid w:val="008F459C"/>
    <w:rsid w:val="008F5499"/>
    <w:rsid w:val="00901F74"/>
    <w:rsid w:val="0090486D"/>
    <w:rsid w:val="00911291"/>
    <w:rsid w:val="00922012"/>
    <w:rsid w:val="0092405C"/>
    <w:rsid w:val="009354AA"/>
    <w:rsid w:val="0093575E"/>
    <w:rsid w:val="00936668"/>
    <w:rsid w:val="0094780E"/>
    <w:rsid w:val="00975565"/>
    <w:rsid w:val="0097556E"/>
    <w:rsid w:val="00977FE9"/>
    <w:rsid w:val="009840E2"/>
    <w:rsid w:val="00985514"/>
    <w:rsid w:val="00986747"/>
    <w:rsid w:val="00986929"/>
    <w:rsid w:val="0099666D"/>
    <w:rsid w:val="0099762C"/>
    <w:rsid w:val="009A09AF"/>
    <w:rsid w:val="009A2480"/>
    <w:rsid w:val="009A393F"/>
    <w:rsid w:val="009C0E16"/>
    <w:rsid w:val="009C4DE7"/>
    <w:rsid w:val="009C5112"/>
    <w:rsid w:val="009E2F65"/>
    <w:rsid w:val="009F4E16"/>
    <w:rsid w:val="009F63E1"/>
    <w:rsid w:val="009F6697"/>
    <w:rsid w:val="00A01F0E"/>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6684D"/>
    <w:rsid w:val="00A76496"/>
    <w:rsid w:val="00A806E1"/>
    <w:rsid w:val="00A86168"/>
    <w:rsid w:val="00A95477"/>
    <w:rsid w:val="00AA52E9"/>
    <w:rsid w:val="00AA74C6"/>
    <w:rsid w:val="00AC213A"/>
    <w:rsid w:val="00AC593E"/>
    <w:rsid w:val="00AC59F7"/>
    <w:rsid w:val="00AD1B64"/>
    <w:rsid w:val="00AD58F5"/>
    <w:rsid w:val="00AD6A8E"/>
    <w:rsid w:val="00AE6352"/>
    <w:rsid w:val="00AF4801"/>
    <w:rsid w:val="00B01CBB"/>
    <w:rsid w:val="00B11CAA"/>
    <w:rsid w:val="00B21E12"/>
    <w:rsid w:val="00B249D8"/>
    <w:rsid w:val="00B314DB"/>
    <w:rsid w:val="00B32BE8"/>
    <w:rsid w:val="00B4017B"/>
    <w:rsid w:val="00B4271F"/>
    <w:rsid w:val="00B42867"/>
    <w:rsid w:val="00B44C3B"/>
    <w:rsid w:val="00B462D7"/>
    <w:rsid w:val="00B46B04"/>
    <w:rsid w:val="00B53DB2"/>
    <w:rsid w:val="00B55E40"/>
    <w:rsid w:val="00B6126C"/>
    <w:rsid w:val="00B622F0"/>
    <w:rsid w:val="00B76635"/>
    <w:rsid w:val="00B81EB6"/>
    <w:rsid w:val="00B85252"/>
    <w:rsid w:val="00B86EA9"/>
    <w:rsid w:val="00B96711"/>
    <w:rsid w:val="00B97496"/>
    <w:rsid w:val="00BA6862"/>
    <w:rsid w:val="00BC1E76"/>
    <w:rsid w:val="00BF40B2"/>
    <w:rsid w:val="00C00DD7"/>
    <w:rsid w:val="00C07699"/>
    <w:rsid w:val="00C15592"/>
    <w:rsid w:val="00C15EFE"/>
    <w:rsid w:val="00C20878"/>
    <w:rsid w:val="00C30F70"/>
    <w:rsid w:val="00C41FA8"/>
    <w:rsid w:val="00C4419C"/>
    <w:rsid w:val="00C55837"/>
    <w:rsid w:val="00C70E26"/>
    <w:rsid w:val="00C7139F"/>
    <w:rsid w:val="00C71BAE"/>
    <w:rsid w:val="00C72D0A"/>
    <w:rsid w:val="00C77355"/>
    <w:rsid w:val="00C85ECD"/>
    <w:rsid w:val="00C91D8A"/>
    <w:rsid w:val="00C9238C"/>
    <w:rsid w:val="00C93B3E"/>
    <w:rsid w:val="00CA5F8E"/>
    <w:rsid w:val="00CB54F7"/>
    <w:rsid w:val="00CC10B5"/>
    <w:rsid w:val="00CC29B6"/>
    <w:rsid w:val="00CC336A"/>
    <w:rsid w:val="00CD0140"/>
    <w:rsid w:val="00CD4B4A"/>
    <w:rsid w:val="00CE29FA"/>
    <w:rsid w:val="00CE43D4"/>
    <w:rsid w:val="00D01F1C"/>
    <w:rsid w:val="00D067C0"/>
    <w:rsid w:val="00D1162B"/>
    <w:rsid w:val="00D12FE5"/>
    <w:rsid w:val="00D13813"/>
    <w:rsid w:val="00D15A2A"/>
    <w:rsid w:val="00D276A6"/>
    <w:rsid w:val="00D3457C"/>
    <w:rsid w:val="00D348F5"/>
    <w:rsid w:val="00D446D2"/>
    <w:rsid w:val="00D45362"/>
    <w:rsid w:val="00D47AE4"/>
    <w:rsid w:val="00D5394C"/>
    <w:rsid w:val="00D544A5"/>
    <w:rsid w:val="00D55E54"/>
    <w:rsid w:val="00D612C4"/>
    <w:rsid w:val="00D63449"/>
    <w:rsid w:val="00D63E9D"/>
    <w:rsid w:val="00D73CFA"/>
    <w:rsid w:val="00D82FE1"/>
    <w:rsid w:val="00D853D5"/>
    <w:rsid w:val="00D86B46"/>
    <w:rsid w:val="00DA3AB9"/>
    <w:rsid w:val="00DB29BF"/>
    <w:rsid w:val="00DB2B58"/>
    <w:rsid w:val="00DC4A12"/>
    <w:rsid w:val="00DD1372"/>
    <w:rsid w:val="00DD352A"/>
    <w:rsid w:val="00DD61FF"/>
    <w:rsid w:val="00DD745C"/>
    <w:rsid w:val="00DD7C58"/>
    <w:rsid w:val="00DF2F26"/>
    <w:rsid w:val="00DF6A14"/>
    <w:rsid w:val="00E02ECC"/>
    <w:rsid w:val="00E14831"/>
    <w:rsid w:val="00E153C8"/>
    <w:rsid w:val="00E222E7"/>
    <w:rsid w:val="00E23075"/>
    <w:rsid w:val="00E26958"/>
    <w:rsid w:val="00E35473"/>
    <w:rsid w:val="00E37299"/>
    <w:rsid w:val="00E403B2"/>
    <w:rsid w:val="00E46D85"/>
    <w:rsid w:val="00E51B36"/>
    <w:rsid w:val="00E54BE4"/>
    <w:rsid w:val="00E552F4"/>
    <w:rsid w:val="00E56ED4"/>
    <w:rsid w:val="00E603F5"/>
    <w:rsid w:val="00E606BF"/>
    <w:rsid w:val="00E61DCC"/>
    <w:rsid w:val="00E64B2F"/>
    <w:rsid w:val="00E84A88"/>
    <w:rsid w:val="00E902C9"/>
    <w:rsid w:val="00E937D0"/>
    <w:rsid w:val="00E9717C"/>
    <w:rsid w:val="00EA2763"/>
    <w:rsid w:val="00EC4604"/>
    <w:rsid w:val="00EE5B0D"/>
    <w:rsid w:val="00EE7D68"/>
    <w:rsid w:val="00EF3E92"/>
    <w:rsid w:val="00F1595E"/>
    <w:rsid w:val="00F3099C"/>
    <w:rsid w:val="00F32A0E"/>
    <w:rsid w:val="00F3383B"/>
    <w:rsid w:val="00F34902"/>
    <w:rsid w:val="00F37D10"/>
    <w:rsid w:val="00F4331E"/>
    <w:rsid w:val="00F433E0"/>
    <w:rsid w:val="00F43A90"/>
    <w:rsid w:val="00F46350"/>
    <w:rsid w:val="00F56D48"/>
    <w:rsid w:val="00F624CE"/>
    <w:rsid w:val="00F62F6F"/>
    <w:rsid w:val="00F67884"/>
    <w:rsid w:val="00F7068B"/>
    <w:rsid w:val="00F76120"/>
    <w:rsid w:val="00F77DB9"/>
    <w:rsid w:val="00F81DB9"/>
    <w:rsid w:val="00F96DEC"/>
    <w:rsid w:val="00FB4E8F"/>
    <w:rsid w:val="00FC7335"/>
    <w:rsid w:val="00FE248E"/>
    <w:rsid w:val="00FF50A9"/>
    <w:rsid w:val="00FF5D95"/>
    <w:rsid w:val="00FF7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semiHidden/>
    <w:unhideWhenUsed/>
    <w:rsid w:val="005F2687"/>
    <w:rPr>
      <w:sz w:val="16"/>
      <w:szCs w:val="16"/>
    </w:rPr>
  </w:style>
  <w:style w:type="paragraph" w:styleId="Textocomentario">
    <w:name w:val="annotation text"/>
    <w:basedOn w:val="Normal"/>
    <w:link w:val="TextocomentarioCar"/>
    <w:uiPriority w:val="99"/>
    <w:semiHidden/>
    <w:unhideWhenUsed/>
    <w:rsid w:val="005F2687"/>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 w:type="character" w:customStyle="1" w:styleId="langen">
    <w:name w:val="lang_en"/>
    <w:basedOn w:val="Fuentedeprrafopredeter"/>
    <w:rsid w:val="005F4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semiHidden/>
    <w:unhideWhenUsed/>
    <w:rsid w:val="005F2687"/>
    <w:rPr>
      <w:sz w:val="16"/>
      <w:szCs w:val="16"/>
    </w:rPr>
  </w:style>
  <w:style w:type="paragraph" w:styleId="Textocomentario">
    <w:name w:val="annotation text"/>
    <w:basedOn w:val="Normal"/>
    <w:link w:val="TextocomentarioCar"/>
    <w:uiPriority w:val="99"/>
    <w:semiHidden/>
    <w:unhideWhenUsed/>
    <w:rsid w:val="005F2687"/>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 w:type="character" w:customStyle="1" w:styleId="langen">
    <w:name w:val="lang_en"/>
    <w:basedOn w:val="Fuentedeprrafopredeter"/>
    <w:rsid w:val="005F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aseconstructionequipment.espana" TargetMode="External"/><Relationship Id="rId18" Type="http://schemas.openxmlformats.org/officeDocument/2006/relationships/image" Target="media/image3.png"/><Relationship Id="rId26" Type="http://schemas.openxmlformats.org/officeDocument/2006/relationships/hyperlink" Target="http://www.casece.com" TargetMode="External"/><Relationship Id="rId3" Type="http://schemas.openxmlformats.org/officeDocument/2006/relationships/customXml" Target="../customXml/item3.xml"/><Relationship Id="rId21" Type="http://schemas.openxmlformats.org/officeDocument/2006/relationships/hyperlink" Target="https://www.facebook.com/caseconstructionequipment.espana" TargetMode="External"/><Relationship Id="rId7" Type="http://schemas.openxmlformats.org/officeDocument/2006/relationships/settings" Target="settings.xml"/><Relationship Id="rId12" Type="http://schemas.openxmlformats.org/officeDocument/2006/relationships/hyperlink" Target="https://www.facebook.com/caseconstructionequipment" TargetMode="External"/><Relationship Id="rId17" Type="http://schemas.openxmlformats.org/officeDocument/2006/relationships/hyperlink" Target="https://www.youtube.com/user/Caseatwork" TargetMode="External"/><Relationship Id="rId25" Type="http://schemas.openxmlformats.org/officeDocument/2006/relationships/image" Target="cid:image004.gif@01D123A8.097F989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secetools.com/press-kit" TargetMode="External"/><Relationship Id="rId24" Type="http://schemas.openxmlformats.org/officeDocument/2006/relationships/image" Target="cid:image003.gif@01D123A8.097F989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casece" TargetMode="External"/><Relationship Id="rId23" Type="http://schemas.openxmlformats.org/officeDocument/2006/relationships/image" Target="cid:image002.gif@01D123A8.097F989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case-construction-equipment"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www.cnhindustrial.com"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AB0D-92F5-45E8-B20D-B16F59B63B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AC7A68-A66D-45D6-BBB7-16C2E74390E7}"/>
</file>

<file path=customXml/itemProps3.xml><?xml version="1.0" encoding="utf-8"?>
<ds:datastoreItem xmlns:ds="http://schemas.openxmlformats.org/officeDocument/2006/customXml" ds:itemID="{5CC73050-7F78-4EA0-9A63-64D1E4CE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2</TotalTime>
  <Pages>2</Pages>
  <Words>610</Words>
  <Characters>3356</Characters>
  <Application>Microsoft Office Word</Application>
  <DocSecurity>0</DocSecurity>
  <Lines>27</Lines>
  <Paragraphs>7</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3959</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4</cp:revision>
  <cp:lastPrinted>2016-12-12T11:12:00Z</cp:lastPrinted>
  <dcterms:created xsi:type="dcterms:W3CDTF">2017-01-11T12:44:00Z</dcterms:created>
  <dcterms:modified xsi:type="dcterms:W3CDTF">2017-01-13T10:52:00Z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d37b960c-fbac-4705-b714-804282f36f45</vt:lpwstr>
  </property>
  <property fmtid="{D5CDD505-2E9C-101B-9397-08002B2CF9AE}" pid="3" name="bjSaver">
    <vt:lpwstr>3bQ0TVsCy/CDaCtcvz4OGfnOrp1SRso+</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NS026,03/01/2017 9:08:59,GENERAL BUSINESS</vt:lpwstr>
  </property>
  <property fmtid="{D5CDD505-2E9C-101B-9397-08002B2CF9AE}" pid="8" name="CNH-Classification">
    <vt:lpwstr>[GENERAL BUSINESS]</vt:lpwstr>
  </property>
</Properties>
</file>