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F1C" w:rsidRPr="00373D0A" w:rsidRDefault="00196F60" w:rsidP="00C87C6E">
      <w:pPr>
        <w:jc w:val="both"/>
        <w:rPr>
          <w:rFonts w:cs="Arial"/>
          <w:b/>
          <w:sz w:val="22"/>
          <w:szCs w:val="22"/>
          <w:lang w:val="es-ES"/>
        </w:rPr>
      </w:pPr>
      <w:r w:rsidRPr="00373D0A">
        <w:rPr>
          <w:rFonts w:cs="Arial"/>
          <w:b/>
          <w:sz w:val="22"/>
          <w:szCs w:val="22"/>
          <w:lang w:val="es-ES"/>
        </w:rPr>
        <w:t>CASE presenta en BAUMA 2016 la nueva excavadora de cadenas CX290D diseñada para la manipulación de materiales</w:t>
      </w:r>
    </w:p>
    <w:p w:rsidR="00D01F1C" w:rsidRPr="00373D0A" w:rsidRDefault="00D01F1C" w:rsidP="00C87C6E">
      <w:pPr>
        <w:jc w:val="both"/>
        <w:rPr>
          <w:lang w:val="es-ES"/>
        </w:rPr>
      </w:pPr>
    </w:p>
    <w:p w:rsidR="00D01F1C" w:rsidRPr="00373D0A" w:rsidRDefault="00D01F1C" w:rsidP="00C87C6E">
      <w:pPr>
        <w:jc w:val="both"/>
        <w:rPr>
          <w:lang w:val="es-ES"/>
        </w:rPr>
      </w:pPr>
    </w:p>
    <w:p w:rsidR="00D01F1C" w:rsidRPr="00373D0A" w:rsidRDefault="00047C96" w:rsidP="00C87C6E">
      <w:pPr>
        <w:pStyle w:val="01TESTO"/>
        <w:shd w:val="clear" w:color="auto" w:fill="FFFFFF" w:themeFill="background1"/>
        <w:jc w:val="both"/>
        <w:rPr>
          <w:lang w:val="es-ES"/>
        </w:rPr>
      </w:pPr>
      <w:r w:rsidRPr="00373D0A">
        <w:rPr>
          <w:lang w:val="es-ES"/>
        </w:rPr>
        <w:t xml:space="preserve">Turín, 11 de </w:t>
      </w:r>
      <w:r w:rsidR="008F36E7">
        <w:rPr>
          <w:lang w:val="es-ES"/>
        </w:rPr>
        <w:t>A</w:t>
      </w:r>
      <w:bookmarkStart w:id="0" w:name="_GoBack"/>
      <w:bookmarkEnd w:id="0"/>
      <w:r w:rsidRPr="00373D0A">
        <w:rPr>
          <w:lang w:val="es-ES"/>
        </w:rPr>
        <w:t>bril de 2016</w:t>
      </w:r>
    </w:p>
    <w:p w:rsidR="00D01F1C" w:rsidRPr="00373D0A" w:rsidRDefault="00D01F1C" w:rsidP="00C87C6E">
      <w:pPr>
        <w:pStyle w:val="01TESTO"/>
        <w:shd w:val="clear" w:color="auto" w:fill="FFFFFF" w:themeFill="background1"/>
        <w:jc w:val="both"/>
        <w:rPr>
          <w:lang w:val="es-ES"/>
        </w:rPr>
      </w:pPr>
    </w:p>
    <w:p w:rsidR="004E27F6" w:rsidRPr="00373D0A" w:rsidRDefault="00DD03CF" w:rsidP="00D612C4">
      <w:pPr>
        <w:spacing w:after="120" w:line="360" w:lineRule="auto"/>
        <w:jc w:val="both"/>
        <w:rPr>
          <w:rFonts w:cs="Arial"/>
          <w:szCs w:val="19"/>
          <w:lang w:val="es-ES"/>
        </w:rPr>
      </w:pPr>
      <w:r w:rsidRPr="00373D0A">
        <w:rPr>
          <w:rFonts w:cs="Arial"/>
          <w:color w:val="auto"/>
          <w:szCs w:val="19"/>
          <w:lang w:val="es-ES"/>
        </w:rPr>
        <w:t xml:space="preserve">CASE amplía la Serie D de excavadoras de cadenas con un modelo nuevo: la CX290D Material </w:t>
      </w:r>
      <w:proofErr w:type="spellStart"/>
      <w:r w:rsidRPr="00373D0A">
        <w:rPr>
          <w:rFonts w:cs="Arial"/>
          <w:color w:val="auto"/>
          <w:szCs w:val="19"/>
          <w:lang w:val="es-ES"/>
        </w:rPr>
        <w:t>Handling</w:t>
      </w:r>
      <w:proofErr w:type="spellEnd"/>
      <w:r w:rsidRPr="00373D0A">
        <w:rPr>
          <w:rFonts w:cs="Arial"/>
          <w:color w:val="auto"/>
          <w:szCs w:val="19"/>
          <w:lang w:val="es-ES"/>
        </w:rPr>
        <w:t>. Este modelo se asienta sobre la consolidada trayectoria de innovación de la marca en el sector de la manipulación de materiales para ofrecer la máxima productividad con un control de precisión extraordinario.</w:t>
      </w:r>
    </w:p>
    <w:p w:rsidR="00A527D2" w:rsidRPr="00373D0A" w:rsidRDefault="00C91D8A" w:rsidP="00373D0A">
      <w:pPr>
        <w:keepNext/>
        <w:jc w:val="both"/>
        <w:rPr>
          <w:b/>
          <w:szCs w:val="19"/>
          <w:lang w:val="es-ES"/>
        </w:rPr>
      </w:pPr>
      <w:r w:rsidRPr="00373D0A">
        <w:rPr>
          <w:b/>
          <w:szCs w:val="19"/>
          <w:lang w:val="es-ES"/>
        </w:rPr>
        <w:t>Diseñada expresamente para la manipulación de materiales</w:t>
      </w:r>
    </w:p>
    <w:p w:rsidR="00950974" w:rsidRPr="00373D0A" w:rsidRDefault="00DD03CF" w:rsidP="00FA22BF">
      <w:pPr>
        <w:pStyle w:val="01TESTO"/>
        <w:jc w:val="both"/>
        <w:rPr>
          <w:szCs w:val="19"/>
          <w:lang w:val="es-ES"/>
        </w:rPr>
      </w:pPr>
      <w:r w:rsidRPr="00373D0A">
        <w:rPr>
          <w:rFonts w:cs="Arial"/>
          <w:szCs w:val="19"/>
          <w:lang w:val="es-ES"/>
        </w:rPr>
        <w:t xml:space="preserve">La nueva excavadora de cadenas CASE CAX290D Material </w:t>
      </w:r>
      <w:proofErr w:type="spellStart"/>
      <w:r w:rsidRPr="00373D0A">
        <w:rPr>
          <w:rFonts w:cs="Arial"/>
          <w:szCs w:val="19"/>
          <w:lang w:val="es-ES"/>
        </w:rPr>
        <w:t>Handling</w:t>
      </w:r>
      <w:proofErr w:type="spellEnd"/>
      <w:r w:rsidRPr="00373D0A">
        <w:rPr>
          <w:rFonts w:cs="Arial"/>
          <w:szCs w:val="19"/>
          <w:lang w:val="es-ES"/>
        </w:rPr>
        <w:t xml:space="preserve"> se ha diseñado y proyectado específicamente para aplicaciones de manipulación de materiales. Con su alcance extraordinario y su capacidad de elevación, facilita la tarea de manipular todo tipo de residuos, troncos, basura y chatarra. La estructura de la cabina elevada ofrece al operador una vista privilegiada de la zona de trabajo desde una altura de 5,06</w:t>
      </w:r>
      <w:r w:rsidR="00373D0A">
        <w:rPr>
          <w:rFonts w:cs="Arial"/>
          <w:szCs w:val="19"/>
          <w:lang w:val="es-ES"/>
        </w:rPr>
        <w:t> </w:t>
      </w:r>
      <w:r w:rsidRPr="00373D0A">
        <w:rPr>
          <w:rFonts w:cs="Arial"/>
          <w:szCs w:val="19"/>
          <w:lang w:val="es-ES"/>
        </w:rPr>
        <w:t xml:space="preserve">metros. El ventilador reversible limpia los radiadores con más eficacia y mantiene el rendimiento elevado en el ambiente polvoriento propio de muchas aplicaciones de manipulación de materiales. </w:t>
      </w:r>
    </w:p>
    <w:p w:rsidR="00FA22BF" w:rsidRPr="00373D0A" w:rsidRDefault="00FA22BF" w:rsidP="00FA22BF">
      <w:pPr>
        <w:pStyle w:val="01TESTO"/>
        <w:jc w:val="both"/>
        <w:rPr>
          <w:szCs w:val="19"/>
          <w:lang w:val="es-ES"/>
        </w:rPr>
      </w:pPr>
    </w:p>
    <w:p w:rsidR="0060424F" w:rsidRPr="00373D0A" w:rsidRDefault="00950974" w:rsidP="00FA22BF">
      <w:pPr>
        <w:pStyle w:val="01TESTO"/>
        <w:jc w:val="both"/>
        <w:rPr>
          <w:color w:val="auto"/>
          <w:szCs w:val="19"/>
          <w:lang w:val="es-ES"/>
        </w:rPr>
      </w:pPr>
      <w:r w:rsidRPr="00373D0A">
        <w:rPr>
          <w:color w:val="auto"/>
          <w:szCs w:val="19"/>
          <w:lang w:val="es-ES"/>
        </w:rPr>
        <w:t>La CX290D también se ofrecerá con brazo de cuello de ganso y pluma recta en la versión de carga de chatarra.</w:t>
      </w:r>
    </w:p>
    <w:p w:rsidR="00FA22BF" w:rsidRPr="00373D0A" w:rsidRDefault="00FA22BF" w:rsidP="00FA22BF">
      <w:pPr>
        <w:pStyle w:val="01TESTO"/>
        <w:jc w:val="both"/>
        <w:rPr>
          <w:b/>
          <w:szCs w:val="19"/>
          <w:lang w:val="es-ES"/>
        </w:rPr>
      </w:pPr>
    </w:p>
    <w:p w:rsidR="0060424F" w:rsidRPr="00373D0A" w:rsidRDefault="00FF50A9" w:rsidP="00373D0A">
      <w:pPr>
        <w:pStyle w:val="01TESTO"/>
        <w:keepNext/>
        <w:jc w:val="both"/>
        <w:rPr>
          <w:b/>
          <w:szCs w:val="19"/>
          <w:lang w:val="es-ES"/>
        </w:rPr>
      </w:pPr>
      <w:r w:rsidRPr="00373D0A">
        <w:rPr>
          <w:b/>
          <w:szCs w:val="19"/>
          <w:lang w:val="es-ES"/>
        </w:rPr>
        <w:t>Diseñada y construida para la seguridad</w:t>
      </w:r>
    </w:p>
    <w:p w:rsidR="003D21A6" w:rsidRPr="00373D0A" w:rsidRDefault="002A0A55" w:rsidP="00FA22BF">
      <w:pPr>
        <w:pStyle w:val="01TESTO"/>
        <w:jc w:val="both"/>
        <w:rPr>
          <w:szCs w:val="19"/>
          <w:lang w:val="es-ES"/>
        </w:rPr>
      </w:pPr>
      <w:r w:rsidRPr="00373D0A">
        <w:rPr>
          <w:szCs w:val="19"/>
          <w:lang w:val="es-ES"/>
        </w:rPr>
        <w:t>Varias características garantizan el funcionamiento seguro de la cabina elevada. La estructura de elevación rígida permite al operador trabajar de la forma más productiva y confiar en la seguridad de la máquina al alcance máximo. Para aumentar la seguridad del operador, la cabina se puede bajar desde la propia cabina o con un mando externo, y, si estalla una manguera, la velocidad de descenso es limitada. El mecanismo de bajada de la cabina en caso de urgencia es ahora hidráulico, con el consiguiente incremento de la seguridad.</w:t>
      </w:r>
    </w:p>
    <w:p w:rsidR="00FA22BF" w:rsidRPr="00373D0A" w:rsidRDefault="00FA22BF" w:rsidP="00FA22BF">
      <w:pPr>
        <w:pStyle w:val="01TESTO"/>
        <w:jc w:val="both"/>
        <w:rPr>
          <w:szCs w:val="19"/>
          <w:lang w:val="es-ES"/>
        </w:rPr>
      </w:pPr>
    </w:p>
    <w:p w:rsidR="004A69F7" w:rsidRPr="00373D0A" w:rsidRDefault="002A0A55" w:rsidP="00FA22BF">
      <w:pPr>
        <w:pStyle w:val="01TESTO"/>
        <w:jc w:val="both"/>
        <w:rPr>
          <w:szCs w:val="19"/>
          <w:lang w:val="es-ES"/>
        </w:rPr>
      </w:pPr>
      <w:r w:rsidRPr="00373D0A">
        <w:rPr>
          <w:szCs w:val="19"/>
          <w:lang w:val="es-ES"/>
        </w:rPr>
        <w:t>Un dispositivo nuevo impide la interferencia entre la máquina y sus accesorios por medio de sensores situados en el cilindro de la cuchara. Las mejoras en el circuito pilotado reducen el impacto sobre los accesorios delanteros a la extensión máxima. Esto limita mucho los movimientos de la cabina, mejora el confort y aumenta la seguridad en torno a la máquina. La</w:t>
      </w:r>
      <w:r w:rsidR="00373D0A" w:rsidRPr="00373D0A">
        <w:rPr>
          <w:szCs w:val="19"/>
          <w:lang w:val="es-ES"/>
        </w:rPr>
        <w:t xml:space="preserve"> </w:t>
      </w:r>
      <w:r w:rsidRPr="00373D0A">
        <w:rPr>
          <w:szCs w:val="19"/>
          <w:lang w:val="es-ES"/>
        </w:rPr>
        <w:t>protección delantera incrementa la seguridad del operador en la cabina.</w:t>
      </w:r>
    </w:p>
    <w:p w:rsidR="00FA22BF" w:rsidRPr="00373D0A" w:rsidRDefault="00FA22BF" w:rsidP="00FA22BF">
      <w:pPr>
        <w:pStyle w:val="style2"/>
        <w:spacing w:before="0" w:beforeAutospacing="0" w:after="0" w:afterAutospacing="0" w:line="300" w:lineRule="exact"/>
        <w:jc w:val="both"/>
        <w:rPr>
          <w:b/>
          <w:sz w:val="19"/>
          <w:szCs w:val="19"/>
          <w:lang w:eastAsia="it-IT"/>
        </w:rPr>
      </w:pPr>
    </w:p>
    <w:p w:rsidR="00617B37" w:rsidRPr="00373D0A" w:rsidRDefault="00283150" w:rsidP="00373D0A">
      <w:pPr>
        <w:pStyle w:val="style2"/>
        <w:keepNext/>
        <w:spacing w:before="0" w:beforeAutospacing="0" w:after="0" w:afterAutospacing="0" w:line="300" w:lineRule="exact"/>
        <w:jc w:val="both"/>
        <w:rPr>
          <w:b/>
          <w:sz w:val="19"/>
          <w:szCs w:val="19"/>
          <w:lang w:eastAsia="it-IT"/>
        </w:rPr>
      </w:pPr>
      <w:r w:rsidRPr="00373D0A">
        <w:rPr>
          <w:b/>
          <w:sz w:val="19"/>
          <w:szCs w:val="19"/>
          <w:lang w:eastAsia="it-IT"/>
        </w:rPr>
        <w:lastRenderedPageBreak/>
        <w:t>Rendimiento elevado con ciclos rápidos</w:t>
      </w:r>
    </w:p>
    <w:p w:rsidR="0024223A" w:rsidRPr="00373D0A" w:rsidRDefault="00283150" w:rsidP="00FA22BF">
      <w:pPr>
        <w:pStyle w:val="style2"/>
        <w:spacing w:before="0" w:beforeAutospacing="0" w:after="0" w:afterAutospacing="0" w:line="300" w:lineRule="exact"/>
        <w:jc w:val="both"/>
        <w:rPr>
          <w:sz w:val="19"/>
          <w:szCs w:val="19"/>
          <w:lang w:eastAsia="it-IT"/>
        </w:rPr>
      </w:pPr>
      <w:r w:rsidRPr="00373D0A">
        <w:rPr>
          <w:sz w:val="19"/>
          <w:szCs w:val="19"/>
          <w:lang w:eastAsia="it-IT"/>
        </w:rPr>
        <w:t xml:space="preserve">La CX290D MH se beneficia de las ventajas que el motor </w:t>
      </w:r>
      <w:proofErr w:type="spellStart"/>
      <w:r w:rsidRPr="00373D0A">
        <w:rPr>
          <w:sz w:val="19"/>
          <w:szCs w:val="19"/>
          <w:lang w:eastAsia="it-IT"/>
        </w:rPr>
        <w:t>Tier</w:t>
      </w:r>
      <w:proofErr w:type="spellEnd"/>
      <w:r w:rsidRPr="00373D0A">
        <w:rPr>
          <w:sz w:val="19"/>
          <w:szCs w:val="19"/>
          <w:lang w:eastAsia="it-IT"/>
        </w:rPr>
        <w:t xml:space="preserve"> 4 Final /</w:t>
      </w:r>
      <w:proofErr w:type="spellStart"/>
      <w:r w:rsidRPr="00373D0A">
        <w:rPr>
          <w:sz w:val="19"/>
          <w:szCs w:val="19"/>
          <w:lang w:eastAsia="it-IT"/>
        </w:rPr>
        <w:t>Stage</w:t>
      </w:r>
      <w:proofErr w:type="spellEnd"/>
      <w:r w:rsidRPr="00373D0A">
        <w:rPr>
          <w:sz w:val="19"/>
          <w:szCs w:val="19"/>
          <w:lang w:eastAsia="it-IT"/>
        </w:rPr>
        <w:t xml:space="preserve"> IV con sistema </w:t>
      </w:r>
      <w:proofErr w:type="spellStart"/>
      <w:r w:rsidRPr="00373D0A">
        <w:rPr>
          <w:sz w:val="19"/>
          <w:szCs w:val="19"/>
          <w:lang w:eastAsia="it-IT"/>
        </w:rPr>
        <w:t>postratamiento</w:t>
      </w:r>
      <w:proofErr w:type="spellEnd"/>
      <w:r w:rsidRPr="00373D0A">
        <w:rPr>
          <w:sz w:val="19"/>
          <w:szCs w:val="19"/>
          <w:lang w:eastAsia="it-IT"/>
        </w:rPr>
        <w:t xml:space="preserve"> de reducción catalítica selectiva y oxidación catalítica diésel aporta a la Serie D. Esta solución exenta de DPF ahorra tiempo y costes de mantenimiento, además de ofrecer un rendimiento potente con ahorro de combustible. </w:t>
      </w:r>
    </w:p>
    <w:p w:rsidR="00283150" w:rsidRPr="00373D0A" w:rsidRDefault="00283150" w:rsidP="00FA22BF">
      <w:pPr>
        <w:pStyle w:val="style2"/>
        <w:spacing w:before="0" w:beforeAutospacing="0" w:after="0" w:afterAutospacing="0" w:line="300" w:lineRule="exact"/>
        <w:jc w:val="both"/>
        <w:rPr>
          <w:sz w:val="19"/>
          <w:szCs w:val="19"/>
          <w:lang w:eastAsia="it-IT"/>
        </w:rPr>
      </w:pPr>
      <w:r w:rsidRPr="00373D0A">
        <w:rPr>
          <w:sz w:val="19"/>
          <w:szCs w:val="19"/>
          <w:lang w:eastAsia="it-IT"/>
        </w:rPr>
        <w:t>La mejora del sistema hidráulico da lugar a ciclos más rápidos, y el aumento de la velocidad de apertura del brazo es una ventaja al arrojar chatarra.</w:t>
      </w:r>
    </w:p>
    <w:p w:rsidR="00FA22BF" w:rsidRPr="00373D0A" w:rsidRDefault="00FA22BF" w:rsidP="00FA22BF">
      <w:pPr>
        <w:pStyle w:val="style2"/>
        <w:spacing w:before="0" w:beforeAutospacing="0" w:after="0" w:afterAutospacing="0" w:line="300" w:lineRule="exact"/>
        <w:jc w:val="both"/>
        <w:rPr>
          <w:b/>
          <w:sz w:val="19"/>
          <w:szCs w:val="19"/>
          <w:lang w:eastAsia="it-IT"/>
        </w:rPr>
      </w:pPr>
    </w:p>
    <w:p w:rsidR="001841DA" w:rsidRPr="00373D0A" w:rsidRDefault="001841DA" w:rsidP="00373D0A">
      <w:pPr>
        <w:pStyle w:val="style2"/>
        <w:keepNext/>
        <w:spacing w:before="0" w:beforeAutospacing="0" w:after="0" w:afterAutospacing="0" w:line="300" w:lineRule="exact"/>
        <w:jc w:val="both"/>
        <w:rPr>
          <w:b/>
          <w:sz w:val="19"/>
          <w:szCs w:val="19"/>
        </w:rPr>
      </w:pPr>
      <w:r w:rsidRPr="00373D0A">
        <w:rPr>
          <w:b/>
          <w:sz w:val="19"/>
          <w:szCs w:val="19"/>
          <w:lang w:eastAsia="it-IT"/>
        </w:rPr>
        <w:t>Mejora de la visibilidad</w:t>
      </w:r>
    </w:p>
    <w:p w:rsidR="00A21A18" w:rsidRPr="00373D0A" w:rsidRDefault="001841DA" w:rsidP="00FA22BF">
      <w:pPr>
        <w:pStyle w:val="style2"/>
        <w:spacing w:before="0" w:beforeAutospacing="0" w:after="0" w:afterAutospacing="0" w:line="300" w:lineRule="exact"/>
        <w:jc w:val="both"/>
        <w:rPr>
          <w:sz w:val="19"/>
          <w:szCs w:val="19"/>
        </w:rPr>
      </w:pPr>
      <w:r w:rsidRPr="00373D0A">
        <w:rPr>
          <w:sz w:val="19"/>
          <w:szCs w:val="19"/>
        </w:rPr>
        <w:t>Las nuevas características de la CX290D MH incluyen un nuevo paquete de luces de trabajo LED, que son tres veces más potentes que sus equivalentes de halógeno. También se ofrece una tercera cámara para incrementar la visibilidad periférica.</w:t>
      </w:r>
    </w:p>
    <w:p w:rsidR="00FA22BF" w:rsidRPr="00373D0A" w:rsidRDefault="00FA22BF" w:rsidP="00FA22BF">
      <w:pPr>
        <w:pStyle w:val="style2"/>
        <w:spacing w:before="0" w:beforeAutospacing="0" w:after="0" w:afterAutospacing="0" w:line="300" w:lineRule="exact"/>
        <w:jc w:val="both"/>
        <w:rPr>
          <w:sz w:val="19"/>
          <w:szCs w:val="19"/>
        </w:rPr>
      </w:pPr>
    </w:p>
    <w:tbl>
      <w:tblPr>
        <w:tblStyle w:val="Tablaconcuadrcul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1"/>
        <w:gridCol w:w="992"/>
        <w:gridCol w:w="993"/>
        <w:gridCol w:w="1129"/>
        <w:gridCol w:w="1985"/>
        <w:gridCol w:w="1984"/>
      </w:tblGrid>
      <w:tr w:rsidR="00191B6C" w:rsidRPr="00373D0A" w:rsidTr="00646A70">
        <w:tc>
          <w:tcPr>
            <w:tcW w:w="1281" w:type="dxa"/>
          </w:tcPr>
          <w:p w:rsidR="00191B6C" w:rsidRPr="00373D0A" w:rsidRDefault="00191B6C" w:rsidP="00D612C4">
            <w:pPr>
              <w:pStyle w:val="style2"/>
              <w:spacing w:before="0" w:beforeAutospacing="0" w:after="120" w:afterAutospacing="0" w:line="360" w:lineRule="auto"/>
              <w:jc w:val="both"/>
              <w:rPr>
                <w:b/>
                <w:sz w:val="19"/>
                <w:szCs w:val="19"/>
                <w:lang w:eastAsia="it-IT"/>
              </w:rPr>
            </w:pPr>
          </w:p>
        </w:tc>
        <w:tc>
          <w:tcPr>
            <w:tcW w:w="992" w:type="dxa"/>
            <w:vAlign w:val="center"/>
          </w:tcPr>
          <w:p w:rsidR="00191B6C"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Alcance máximo</w:t>
            </w:r>
          </w:p>
        </w:tc>
        <w:tc>
          <w:tcPr>
            <w:tcW w:w="993" w:type="dxa"/>
            <w:vAlign w:val="center"/>
          </w:tcPr>
          <w:p w:rsidR="00191B6C"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Peso máximo</w:t>
            </w:r>
          </w:p>
        </w:tc>
        <w:tc>
          <w:tcPr>
            <w:tcW w:w="850" w:type="dxa"/>
            <w:vAlign w:val="center"/>
          </w:tcPr>
          <w:p w:rsidR="00191B6C"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Profundidad máxima</w:t>
            </w:r>
          </w:p>
        </w:tc>
        <w:tc>
          <w:tcPr>
            <w:tcW w:w="1985" w:type="dxa"/>
            <w:vAlign w:val="center"/>
          </w:tcPr>
          <w:p w:rsidR="00646A70"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 xml:space="preserve">Capacidad de elevación </w:t>
            </w:r>
          </w:p>
          <w:p w:rsidR="00646A70"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 xml:space="preserve">en sentido longitudinal </w:t>
            </w:r>
          </w:p>
          <w:p w:rsidR="00191B6C" w:rsidRPr="00373D0A" w:rsidRDefault="00191B6C" w:rsidP="00646A70">
            <w:pPr>
              <w:pStyle w:val="style2"/>
              <w:spacing w:before="0" w:beforeAutospacing="0" w:after="0" w:afterAutospacing="0"/>
              <w:jc w:val="center"/>
              <w:rPr>
                <w:b/>
                <w:sz w:val="19"/>
                <w:szCs w:val="19"/>
                <w:lang w:eastAsia="it-IT"/>
              </w:rPr>
            </w:pPr>
            <w:r w:rsidRPr="00373D0A">
              <w:rPr>
                <w:sz w:val="19"/>
                <w:szCs w:val="19"/>
                <w:lang w:eastAsia="it-IT"/>
              </w:rPr>
              <w:t>a 9 m de alcance en el suelo</w:t>
            </w:r>
          </w:p>
        </w:tc>
        <w:tc>
          <w:tcPr>
            <w:tcW w:w="1984" w:type="dxa"/>
            <w:vAlign w:val="center"/>
          </w:tcPr>
          <w:p w:rsidR="00646A70"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 xml:space="preserve">Capacidad de elevación </w:t>
            </w:r>
          </w:p>
          <w:p w:rsidR="00646A70" w:rsidRPr="00373D0A" w:rsidRDefault="00191B6C" w:rsidP="00646A70">
            <w:pPr>
              <w:pStyle w:val="style2"/>
              <w:spacing w:before="0" w:beforeAutospacing="0" w:after="0" w:afterAutospacing="0"/>
              <w:jc w:val="center"/>
              <w:rPr>
                <w:b/>
                <w:sz w:val="19"/>
                <w:szCs w:val="19"/>
                <w:lang w:eastAsia="it-IT"/>
              </w:rPr>
            </w:pPr>
            <w:r w:rsidRPr="00373D0A">
              <w:rPr>
                <w:b/>
                <w:sz w:val="19"/>
                <w:szCs w:val="19"/>
                <w:lang w:eastAsia="it-IT"/>
              </w:rPr>
              <w:t xml:space="preserve">en sentido lateral </w:t>
            </w:r>
          </w:p>
          <w:p w:rsidR="00191B6C" w:rsidRPr="00373D0A" w:rsidRDefault="00191B6C" w:rsidP="00646A70">
            <w:pPr>
              <w:pStyle w:val="style2"/>
              <w:spacing w:before="0" w:beforeAutospacing="0" w:after="0" w:afterAutospacing="0"/>
              <w:jc w:val="center"/>
              <w:rPr>
                <w:b/>
                <w:sz w:val="19"/>
                <w:szCs w:val="19"/>
                <w:lang w:eastAsia="it-IT"/>
              </w:rPr>
            </w:pPr>
            <w:r w:rsidRPr="00373D0A">
              <w:rPr>
                <w:sz w:val="19"/>
                <w:szCs w:val="19"/>
                <w:lang w:eastAsia="it-IT"/>
              </w:rPr>
              <w:t>a 9 m de alcance en el suelo</w:t>
            </w:r>
          </w:p>
        </w:tc>
      </w:tr>
      <w:tr w:rsidR="00191B6C" w:rsidRPr="00373D0A" w:rsidTr="00646A70">
        <w:tc>
          <w:tcPr>
            <w:tcW w:w="1281" w:type="dxa"/>
            <w:vAlign w:val="center"/>
          </w:tcPr>
          <w:p w:rsidR="00191B6C" w:rsidRPr="00373D0A" w:rsidRDefault="00191B6C" w:rsidP="00191B6C">
            <w:pPr>
              <w:pStyle w:val="style2"/>
              <w:spacing w:before="0" w:beforeAutospacing="0" w:after="120" w:afterAutospacing="0" w:line="360" w:lineRule="auto"/>
              <w:jc w:val="center"/>
              <w:rPr>
                <w:b/>
                <w:sz w:val="19"/>
                <w:szCs w:val="19"/>
                <w:lang w:eastAsia="it-IT"/>
              </w:rPr>
            </w:pPr>
            <w:r w:rsidRPr="00373D0A">
              <w:rPr>
                <w:b/>
                <w:sz w:val="19"/>
                <w:szCs w:val="19"/>
                <w:lang w:eastAsia="it-IT"/>
              </w:rPr>
              <w:t>CX290D MH</w:t>
            </w:r>
          </w:p>
        </w:tc>
        <w:tc>
          <w:tcPr>
            <w:tcW w:w="992" w:type="dxa"/>
            <w:vAlign w:val="center"/>
          </w:tcPr>
          <w:p w:rsidR="00191B6C" w:rsidRPr="00373D0A" w:rsidRDefault="00191B6C" w:rsidP="00191B6C">
            <w:pPr>
              <w:pStyle w:val="style2"/>
              <w:spacing w:before="0" w:beforeAutospacing="0" w:after="120" w:afterAutospacing="0" w:line="360" w:lineRule="auto"/>
              <w:jc w:val="center"/>
              <w:rPr>
                <w:sz w:val="19"/>
                <w:szCs w:val="19"/>
                <w:lang w:eastAsia="it-IT"/>
              </w:rPr>
            </w:pPr>
            <w:r w:rsidRPr="00373D0A">
              <w:rPr>
                <w:sz w:val="19"/>
                <w:szCs w:val="19"/>
                <w:lang w:eastAsia="it-IT"/>
              </w:rPr>
              <w:t>11,6 m</w:t>
            </w:r>
          </w:p>
        </w:tc>
        <w:tc>
          <w:tcPr>
            <w:tcW w:w="993" w:type="dxa"/>
            <w:vAlign w:val="center"/>
          </w:tcPr>
          <w:p w:rsidR="00191B6C" w:rsidRPr="00373D0A" w:rsidRDefault="00191B6C" w:rsidP="00191B6C">
            <w:pPr>
              <w:pStyle w:val="style2"/>
              <w:spacing w:before="0" w:beforeAutospacing="0" w:after="120" w:afterAutospacing="0" w:line="360" w:lineRule="auto"/>
              <w:jc w:val="center"/>
              <w:rPr>
                <w:sz w:val="19"/>
                <w:szCs w:val="19"/>
                <w:lang w:eastAsia="it-IT"/>
              </w:rPr>
            </w:pPr>
            <w:r w:rsidRPr="00373D0A">
              <w:rPr>
                <w:sz w:val="19"/>
                <w:szCs w:val="19"/>
                <w:lang w:eastAsia="it-IT"/>
              </w:rPr>
              <w:t>12,6 m</w:t>
            </w:r>
          </w:p>
        </w:tc>
        <w:tc>
          <w:tcPr>
            <w:tcW w:w="850" w:type="dxa"/>
            <w:vAlign w:val="center"/>
          </w:tcPr>
          <w:p w:rsidR="00191B6C" w:rsidRPr="00373D0A" w:rsidRDefault="00191B6C" w:rsidP="00191B6C">
            <w:pPr>
              <w:pStyle w:val="style2"/>
              <w:spacing w:before="0" w:beforeAutospacing="0" w:after="120" w:afterAutospacing="0" w:line="360" w:lineRule="auto"/>
              <w:jc w:val="center"/>
              <w:rPr>
                <w:sz w:val="19"/>
                <w:szCs w:val="19"/>
                <w:lang w:eastAsia="it-IT"/>
              </w:rPr>
            </w:pPr>
            <w:r w:rsidRPr="00373D0A">
              <w:rPr>
                <w:sz w:val="19"/>
                <w:szCs w:val="19"/>
                <w:lang w:eastAsia="it-IT"/>
              </w:rPr>
              <w:t>3,7 m</w:t>
            </w:r>
          </w:p>
        </w:tc>
        <w:tc>
          <w:tcPr>
            <w:tcW w:w="1985" w:type="dxa"/>
            <w:vAlign w:val="center"/>
          </w:tcPr>
          <w:p w:rsidR="00191B6C" w:rsidRPr="00373D0A" w:rsidRDefault="00191B6C" w:rsidP="00191B6C">
            <w:pPr>
              <w:pStyle w:val="style2"/>
              <w:spacing w:before="0" w:beforeAutospacing="0" w:after="120" w:afterAutospacing="0" w:line="360" w:lineRule="auto"/>
              <w:jc w:val="center"/>
              <w:rPr>
                <w:sz w:val="19"/>
                <w:szCs w:val="19"/>
                <w:lang w:eastAsia="it-IT"/>
              </w:rPr>
            </w:pPr>
            <w:r w:rsidRPr="00373D0A">
              <w:rPr>
                <w:sz w:val="19"/>
                <w:szCs w:val="19"/>
                <w:lang w:eastAsia="it-IT"/>
              </w:rPr>
              <w:t>6192 kg</w:t>
            </w:r>
          </w:p>
        </w:tc>
        <w:tc>
          <w:tcPr>
            <w:tcW w:w="1984" w:type="dxa"/>
            <w:vAlign w:val="center"/>
          </w:tcPr>
          <w:p w:rsidR="00191B6C" w:rsidRPr="00373D0A" w:rsidRDefault="00191B6C" w:rsidP="00191B6C">
            <w:pPr>
              <w:pStyle w:val="style2"/>
              <w:spacing w:before="0" w:beforeAutospacing="0" w:after="120" w:afterAutospacing="0" w:line="360" w:lineRule="auto"/>
              <w:jc w:val="center"/>
              <w:rPr>
                <w:sz w:val="19"/>
                <w:szCs w:val="19"/>
                <w:lang w:eastAsia="it-IT"/>
              </w:rPr>
            </w:pPr>
            <w:r w:rsidRPr="00373D0A">
              <w:rPr>
                <w:sz w:val="19"/>
                <w:szCs w:val="19"/>
                <w:lang w:eastAsia="it-IT"/>
              </w:rPr>
              <w:t>4218 kg</w:t>
            </w:r>
          </w:p>
        </w:tc>
      </w:tr>
    </w:tbl>
    <w:p w:rsidR="0077205D" w:rsidRPr="00373D0A" w:rsidRDefault="0077205D" w:rsidP="00D612C4">
      <w:pPr>
        <w:pStyle w:val="style2"/>
        <w:spacing w:before="0" w:beforeAutospacing="0" w:after="120" w:afterAutospacing="0" w:line="360" w:lineRule="auto"/>
        <w:jc w:val="both"/>
        <w:rPr>
          <w:sz w:val="19"/>
          <w:szCs w:val="19"/>
          <w:lang w:eastAsia="it-IT"/>
        </w:rPr>
      </w:pPr>
    </w:p>
    <w:p w:rsidR="00373D0A" w:rsidRPr="00373D0A" w:rsidRDefault="00373D0A" w:rsidP="00373D0A">
      <w:pPr>
        <w:jc w:val="both"/>
        <w:rPr>
          <w:rFonts w:eastAsia="SimSun" w:cs="Arial"/>
          <w:szCs w:val="19"/>
          <w:lang w:val="es-ES" w:eastAsia="es-ES"/>
        </w:rPr>
      </w:pPr>
      <w:r w:rsidRPr="00373D0A">
        <w:rPr>
          <w:rFonts w:eastAsia="SimSun" w:cs="Arial"/>
          <w:szCs w:val="19"/>
          <w:lang w:val="es-ES" w:eastAsia="es-ES"/>
        </w:rPr>
        <w:t>Visitando nuestra página web podrá descargar textos, imágenes y vídeos en alta definición relacionados con este comunicado de prensa (</w:t>
      </w:r>
      <w:proofErr w:type="spellStart"/>
      <w:r w:rsidRPr="00373D0A">
        <w:rPr>
          <w:rFonts w:eastAsia="SimSun" w:cs="Arial"/>
          <w:szCs w:val="19"/>
          <w:lang w:val="es-ES" w:eastAsia="es-ES"/>
        </w:rPr>
        <w:t>jpg</w:t>
      </w:r>
      <w:proofErr w:type="spellEnd"/>
      <w:r w:rsidRPr="00373D0A">
        <w:rPr>
          <w:rFonts w:eastAsia="SimSun" w:cs="Arial"/>
          <w:szCs w:val="19"/>
          <w:lang w:val="es-ES" w:eastAsia="es-ES"/>
        </w:rPr>
        <w:t xml:space="preserve"> 300 dpi, CMYK): </w:t>
      </w:r>
      <w:hyperlink r:id="rId9" w:history="1">
        <w:r w:rsidRPr="00373D0A">
          <w:rPr>
            <w:rFonts w:eastAsia="SimSun" w:cs="Arial"/>
            <w:color w:val="0000FF"/>
            <w:u w:val="single"/>
            <w:lang w:val="es-ES" w:eastAsia="es-ES"/>
          </w:rPr>
          <w:t>www.casecetools.com/press-kit</w:t>
        </w:r>
      </w:hyperlink>
    </w:p>
    <w:p w:rsidR="00373D0A" w:rsidRPr="00373D0A" w:rsidRDefault="00373D0A" w:rsidP="00373D0A">
      <w:pPr>
        <w:jc w:val="both"/>
        <w:rPr>
          <w:rFonts w:eastAsia="SimSun" w:cs="Arial"/>
          <w:szCs w:val="19"/>
          <w:lang w:val="es-ES" w:eastAsia="es-ES"/>
        </w:rPr>
      </w:pPr>
    </w:p>
    <w:p w:rsidR="00373D0A" w:rsidRPr="00373D0A" w:rsidRDefault="00373D0A" w:rsidP="00373D0A">
      <w:pPr>
        <w:jc w:val="both"/>
        <w:rPr>
          <w:rFonts w:eastAsia="SimSun" w:cs="Arial"/>
          <w:b/>
          <w:sz w:val="18"/>
          <w:szCs w:val="18"/>
          <w:lang w:val="en-US" w:eastAsia="es-ES"/>
        </w:rPr>
      </w:pPr>
      <w:r w:rsidRPr="00373D0A">
        <w:rPr>
          <w:rFonts w:eastAsia="SimSun" w:cs="Arial"/>
          <w:b/>
          <w:szCs w:val="19"/>
          <w:lang w:val="es-ES" w:eastAsia="es-ES"/>
        </w:rPr>
        <w:t>Sigue a CASE en:</w:t>
      </w:r>
    </w:p>
    <w:tbl>
      <w:tblPr>
        <w:tblW w:w="0" w:type="auto"/>
        <w:tblCellSpacing w:w="0" w:type="dxa"/>
        <w:tblCellMar>
          <w:left w:w="0" w:type="dxa"/>
          <w:right w:w="0" w:type="dxa"/>
        </w:tblCellMar>
        <w:tblLook w:val="04A0" w:firstRow="1" w:lastRow="0" w:firstColumn="1" w:lastColumn="0" w:noHBand="0" w:noVBand="1"/>
      </w:tblPr>
      <w:tblGrid>
        <w:gridCol w:w="2280"/>
        <w:gridCol w:w="130"/>
        <w:gridCol w:w="226"/>
        <w:gridCol w:w="5867"/>
      </w:tblGrid>
      <w:tr w:rsidR="00373D0A" w:rsidRPr="00373D0A" w:rsidTr="00E71A89">
        <w:trPr>
          <w:trHeight w:val="1370"/>
          <w:tblCellSpacing w:w="0" w:type="dxa"/>
        </w:trPr>
        <w:tc>
          <w:tcPr>
            <w:tcW w:w="2280" w:type="dxa"/>
            <w:vAlign w:val="center"/>
            <w:hideMark/>
          </w:tcPr>
          <w:tbl>
            <w:tblPr>
              <w:tblW w:w="2280" w:type="dxa"/>
              <w:tblCellSpacing w:w="0" w:type="dxa"/>
              <w:tblCellMar>
                <w:left w:w="0" w:type="dxa"/>
                <w:right w:w="0" w:type="dxa"/>
              </w:tblCellMar>
              <w:tblLook w:val="04A0" w:firstRow="1" w:lastRow="0" w:firstColumn="1" w:lastColumn="0" w:noHBand="0" w:noVBand="1"/>
            </w:tblPr>
            <w:tblGrid>
              <w:gridCol w:w="570"/>
              <w:gridCol w:w="570"/>
              <w:gridCol w:w="570"/>
              <w:gridCol w:w="570"/>
            </w:tblGrid>
            <w:tr w:rsidR="00373D0A" w:rsidRPr="00373D0A" w:rsidTr="00E71A89">
              <w:trPr>
                <w:trHeight w:val="442"/>
                <w:tblCellSpacing w:w="0" w:type="dxa"/>
              </w:trPr>
              <w:tc>
                <w:tcPr>
                  <w:tcW w:w="570" w:type="dxa"/>
                  <w:vAlign w:val="center"/>
                  <w:hideMark/>
                </w:tcPr>
                <w:p w:rsidR="00373D0A" w:rsidRPr="00373D0A" w:rsidRDefault="008F36E7" w:rsidP="00373D0A">
                  <w:pPr>
                    <w:rPr>
                      <w:rFonts w:ascii="Calibri" w:eastAsia="Calibri" w:hAnsi="Calibri"/>
                      <w:sz w:val="22"/>
                      <w:szCs w:val="22"/>
                    </w:rPr>
                  </w:pPr>
                  <w:hyperlink r:id="rId10" w:history="1"/>
                  <w:r w:rsidR="00373D0A">
                    <w:rPr>
                      <w:rFonts w:eastAsia="SimSun"/>
                      <w:noProof/>
                      <w:lang w:val="es-ES" w:eastAsia="es-ES"/>
                    </w:rPr>
                    <w:drawing>
                      <wp:inline distT="0" distB="0" distL="0" distR="0">
                        <wp:extent cx="190500" cy="190500"/>
                        <wp:effectExtent l="19050" t="0" r="0" b="0"/>
                        <wp:docPr id="21" name="Imagen 21" descr="facebook_ca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ebook_case"/>
                                <pic:cNvPicPr>
                                  <a:picLocks noChangeAspect="1" noChangeArrowheads="1"/>
                                </pic:cNvPicPr>
                              </pic:nvPicPr>
                              <pic:blipFill>
                                <a:blip r:embed="rId12"/>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373D0A" w:rsidRPr="00373D0A" w:rsidRDefault="00373D0A" w:rsidP="00373D0A">
                  <w:pPr>
                    <w:rPr>
                      <w:rFonts w:ascii="Calibri" w:eastAsia="Calibri" w:hAnsi="Calibri"/>
                      <w:sz w:val="22"/>
                      <w:szCs w:val="22"/>
                    </w:rPr>
                  </w:pPr>
                  <w:r>
                    <w:rPr>
                      <w:rFonts w:ascii="Times New Roman" w:eastAsia="SimSun" w:hAnsi="Times New Roman"/>
                      <w:noProof/>
                      <w:color w:val="0000FF"/>
                      <w:sz w:val="24"/>
                      <w:szCs w:val="24"/>
                      <w:lang w:val="es-ES" w:eastAsia="es-ES"/>
                    </w:rPr>
                    <w:drawing>
                      <wp:inline distT="0" distB="0" distL="0" distR="0">
                        <wp:extent cx="190500" cy="190500"/>
                        <wp:effectExtent l="19050" t="0" r="0" b="0"/>
                        <wp:docPr id="22" name="Imagen 22" descr="cid:image002.gif@01D123A8.097F989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id:image002.gif@01D123A8.097F9890"/>
                                <pic:cNvPicPr>
                                  <a:picLocks noChangeAspect="1" noChangeArrowheads="1"/>
                                </pic:cNvPicPr>
                              </pic:nvPicPr>
                              <pic:blipFill>
                                <a:blip r:embed="rId14" r:link="rId15"/>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373D0A" w:rsidRPr="00373D0A" w:rsidRDefault="00373D0A" w:rsidP="00373D0A">
                  <w:pPr>
                    <w:rPr>
                      <w:rFonts w:ascii="Calibri" w:eastAsia="Calibri" w:hAnsi="Calibri"/>
                      <w:sz w:val="22"/>
                      <w:szCs w:val="22"/>
                    </w:rPr>
                  </w:pPr>
                  <w:r>
                    <w:rPr>
                      <w:rFonts w:ascii="Times New Roman" w:eastAsia="SimSun" w:hAnsi="Times New Roman"/>
                      <w:noProof/>
                      <w:color w:val="0000FF"/>
                      <w:sz w:val="24"/>
                      <w:szCs w:val="24"/>
                      <w:lang w:val="es-ES" w:eastAsia="es-ES"/>
                    </w:rPr>
                    <w:drawing>
                      <wp:inline distT="0" distB="0" distL="0" distR="0">
                        <wp:extent cx="190500" cy="190500"/>
                        <wp:effectExtent l="19050" t="0" r="0" b="0"/>
                        <wp:docPr id="23" name="Imagen 23" descr="cid:image003.gif@01D123A8.097F989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id:image003.gif@01D123A8.097F9890"/>
                                <pic:cNvPicPr>
                                  <a:picLocks noChangeAspect="1" noChangeArrowheads="1"/>
                                </pic:cNvPicPr>
                              </pic:nvPicPr>
                              <pic:blipFill>
                                <a:blip r:embed="rId17" r:link="rId18"/>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c>
                <w:tcPr>
                  <w:tcW w:w="570" w:type="dxa"/>
                  <w:vAlign w:val="center"/>
                  <w:hideMark/>
                </w:tcPr>
                <w:p w:rsidR="00373D0A" w:rsidRPr="00373D0A" w:rsidRDefault="00373D0A" w:rsidP="00373D0A">
                  <w:pPr>
                    <w:rPr>
                      <w:rFonts w:ascii="Calibri" w:eastAsia="Calibri" w:hAnsi="Calibri"/>
                      <w:sz w:val="22"/>
                      <w:szCs w:val="22"/>
                    </w:rPr>
                  </w:pPr>
                  <w:r>
                    <w:rPr>
                      <w:rFonts w:ascii="Times New Roman" w:eastAsia="SimSun" w:hAnsi="Times New Roman"/>
                      <w:noProof/>
                      <w:color w:val="0000FF"/>
                      <w:sz w:val="24"/>
                      <w:szCs w:val="24"/>
                      <w:lang w:val="es-ES" w:eastAsia="es-ES"/>
                    </w:rPr>
                    <w:drawing>
                      <wp:inline distT="0" distB="0" distL="0" distR="0">
                        <wp:extent cx="190500" cy="190500"/>
                        <wp:effectExtent l="19050" t="0" r="0" b="0"/>
                        <wp:docPr id="24" name="Imagen 24" descr="cid:image004.gif@01D123A8.097F989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image004.gif@01D123A8.097F9890"/>
                                <pic:cNvPicPr>
                                  <a:picLocks noChangeAspect="1" noChangeArrowheads="1"/>
                                </pic:cNvPicPr>
                              </pic:nvPicPr>
                              <pic:blipFill>
                                <a:blip r:embed="rId20" r:link="rId21"/>
                                <a:srcRect/>
                                <a:stretch>
                                  <a:fillRect/>
                                </a:stretch>
                              </pic:blipFill>
                              <pic:spPr bwMode="auto">
                                <a:xfrm>
                                  <a:off x="0" y="0"/>
                                  <a:ext cx="190500" cy="190500"/>
                                </a:xfrm>
                                <a:prstGeom prst="rect">
                                  <a:avLst/>
                                </a:prstGeom>
                                <a:noFill/>
                                <a:ln w="9525">
                                  <a:noFill/>
                                  <a:miter lim="800000"/>
                                  <a:headEnd/>
                                  <a:tailEnd/>
                                </a:ln>
                              </pic:spPr>
                            </pic:pic>
                          </a:graphicData>
                        </a:graphic>
                      </wp:inline>
                    </w:drawing>
                  </w:r>
                </w:p>
              </w:tc>
            </w:tr>
          </w:tbl>
          <w:p w:rsidR="00373D0A" w:rsidRPr="00373D0A" w:rsidRDefault="00373D0A" w:rsidP="00373D0A">
            <w:pPr>
              <w:rPr>
                <w:rFonts w:ascii="Times New Roman" w:hAnsi="Times New Roman"/>
                <w:sz w:val="20"/>
              </w:rPr>
            </w:pPr>
          </w:p>
        </w:tc>
        <w:tc>
          <w:tcPr>
            <w:tcW w:w="130" w:type="dxa"/>
            <w:vAlign w:val="center"/>
            <w:hideMark/>
          </w:tcPr>
          <w:p w:rsidR="00373D0A" w:rsidRPr="00373D0A" w:rsidRDefault="00373D0A" w:rsidP="00373D0A">
            <w:pPr>
              <w:rPr>
                <w:rFonts w:ascii="Calibri" w:eastAsia="Calibri" w:hAnsi="Calibri"/>
                <w:sz w:val="22"/>
                <w:szCs w:val="22"/>
              </w:rPr>
            </w:pPr>
            <w:r w:rsidRPr="00373D0A">
              <w:rPr>
                <w:rFonts w:ascii="Times New Roman" w:eastAsia="SimSun" w:hAnsi="Times New Roman"/>
                <w:sz w:val="20"/>
              </w:rPr>
              <w:t> </w:t>
            </w:r>
          </w:p>
        </w:tc>
        <w:tc>
          <w:tcPr>
            <w:tcW w:w="226" w:type="dxa"/>
            <w:vAlign w:val="center"/>
            <w:hideMark/>
          </w:tcPr>
          <w:p w:rsidR="00373D0A" w:rsidRPr="00373D0A" w:rsidRDefault="00373D0A" w:rsidP="00373D0A">
            <w:pPr>
              <w:rPr>
                <w:rFonts w:ascii="Calibri" w:eastAsia="Calibri" w:hAnsi="Calibri"/>
                <w:sz w:val="22"/>
                <w:szCs w:val="22"/>
              </w:rPr>
            </w:pPr>
            <w:r w:rsidRPr="00373D0A">
              <w:rPr>
                <w:rFonts w:ascii="Times New Roman" w:eastAsia="SimSun" w:hAnsi="Times New Roman"/>
                <w:sz w:val="20"/>
              </w:rPr>
              <w:t> </w:t>
            </w:r>
          </w:p>
        </w:tc>
        <w:tc>
          <w:tcPr>
            <w:tcW w:w="5867" w:type="dxa"/>
            <w:vAlign w:val="center"/>
            <w:hideMark/>
          </w:tcPr>
          <w:p w:rsidR="00373D0A" w:rsidRPr="00373D0A" w:rsidRDefault="00373D0A" w:rsidP="00373D0A">
            <w:pPr>
              <w:rPr>
                <w:rFonts w:ascii="Calibri" w:eastAsia="Calibri" w:hAnsi="Calibri"/>
                <w:sz w:val="22"/>
                <w:szCs w:val="22"/>
              </w:rPr>
            </w:pPr>
            <w:r w:rsidRPr="00373D0A">
              <w:rPr>
                <w:rFonts w:ascii="Verdana" w:eastAsia="SimSun" w:hAnsi="Verdana"/>
              </w:rPr>
              <w:t> </w:t>
            </w:r>
            <w:r w:rsidR="008F36E7">
              <w:fldChar w:fldCharType="begin"/>
            </w:r>
            <w:r w:rsidR="008F36E7">
              <w:instrText xml:space="preserve"> HYPERLINK "https://www.facebook.com/caseconstructionequipment.espana" </w:instrText>
            </w:r>
            <w:r w:rsidR="008F36E7">
              <w:fldChar w:fldCharType="separate"/>
            </w:r>
            <w:r w:rsidR="008F36E7">
              <w:fldChar w:fldCharType="end"/>
            </w:r>
          </w:p>
        </w:tc>
      </w:tr>
    </w:tbl>
    <w:p w:rsidR="00373D0A" w:rsidRPr="00373D0A" w:rsidRDefault="00373D0A" w:rsidP="00373D0A">
      <w:pPr>
        <w:jc w:val="both"/>
        <w:rPr>
          <w:rFonts w:eastAsia="SimSun"/>
          <w:i/>
          <w:iCs/>
          <w:sz w:val="16"/>
          <w:szCs w:val="16"/>
          <w:lang w:val="es-ES"/>
        </w:rPr>
      </w:pPr>
      <w:r w:rsidRPr="00373D0A">
        <w:rPr>
          <w:rFonts w:eastAsia="SimSun"/>
          <w:i/>
          <w:iCs/>
          <w:sz w:val="16"/>
          <w:szCs w:val="16"/>
          <w:lang w:val="es-ES"/>
        </w:rPr>
        <w:t xml:space="preserve">CASE </w:t>
      </w:r>
      <w:proofErr w:type="spellStart"/>
      <w:r w:rsidRPr="00373D0A">
        <w:rPr>
          <w:rFonts w:eastAsia="SimSun"/>
          <w:i/>
          <w:iCs/>
          <w:sz w:val="16"/>
          <w:szCs w:val="16"/>
          <w:lang w:val="es-ES"/>
        </w:rPr>
        <w:t>Construction</w:t>
      </w:r>
      <w:proofErr w:type="spellEnd"/>
      <w:r w:rsidRPr="00373D0A">
        <w:rPr>
          <w:rFonts w:eastAsia="SimSun"/>
          <w:i/>
          <w:iCs/>
          <w:sz w:val="16"/>
          <w:szCs w:val="16"/>
          <w:lang w:val="es-ES"/>
        </w:rPr>
        <w:t xml:space="preserve"> </w:t>
      </w:r>
      <w:proofErr w:type="spellStart"/>
      <w:r w:rsidRPr="00373D0A">
        <w:rPr>
          <w:rFonts w:eastAsia="SimSun"/>
          <w:i/>
          <w:iCs/>
          <w:sz w:val="16"/>
          <w:szCs w:val="16"/>
          <w:lang w:val="es-ES"/>
        </w:rPr>
        <w:t>Equipment</w:t>
      </w:r>
      <w:proofErr w:type="spellEnd"/>
      <w:r w:rsidRPr="00373D0A">
        <w:rPr>
          <w:rFonts w:eastAsia="SimSun"/>
          <w:i/>
          <w:iCs/>
          <w:sz w:val="16"/>
          <w:szCs w:val="16"/>
          <w:lang w:val="es-ES"/>
        </w:rPr>
        <w:t xml:space="preserve"> vende y mantiene una línea completa de maquinaria de construcción en todo el mundo, que incluye  el n</w:t>
      </w:r>
      <w:proofErr w:type="gramStart"/>
      <w:r w:rsidRPr="00373D0A">
        <w:rPr>
          <w:rFonts w:eastAsia="SimSun"/>
          <w:i/>
          <w:iCs/>
          <w:sz w:val="16"/>
          <w:szCs w:val="16"/>
          <w:lang w:val="es-ES"/>
        </w:rPr>
        <w:t>.º</w:t>
      </w:r>
      <w:proofErr w:type="gramEnd"/>
      <w:r w:rsidRPr="00373D0A">
        <w:rPr>
          <w:rFonts w:eastAsia="SimSun"/>
          <w:i/>
          <w:iCs/>
          <w:sz w:val="16"/>
          <w:szCs w:val="16"/>
          <w:lang w:val="es-ES"/>
        </w:rPr>
        <w:t xml:space="preserve"> 1 en </w:t>
      </w:r>
      <w:proofErr w:type="spellStart"/>
      <w:r w:rsidRPr="00373D0A">
        <w:rPr>
          <w:rFonts w:eastAsia="SimSun"/>
          <w:i/>
          <w:iCs/>
          <w:sz w:val="16"/>
          <w:szCs w:val="16"/>
          <w:lang w:val="es-ES"/>
        </w:rPr>
        <w:t>retrocargadoras</w:t>
      </w:r>
      <w:proofErr w:type="spellEnd"/>
      <w:r w:rsidRPr="00373D0A">
        <w:rPr>
          <w:rFonts w:eastAsia="SimSun"/>
          <w:i/>
          <w:iCs/>
          <w:sz w:val="16"/>
          <w:szCs w:val="16"/>
          <w:lang w:val="es-ES"/>
        </w:rPr>
        <w:t xml:space="preserve">, excavadoras, motoniveladoras, cargadoras de neumáticos, rodillos vibradores de compactación, </w:t>
      </w:r>
      <w:proofErr w:type="spellStart"/>
      <w:r w:rsidRPr="00373D0A">
        <w:rPr>
          <w:rFonts w:eastAsia="SimSun"/>
          <w:i/>
          <w:iCs/>
          <w:sz w:val="16"/>
          <w:szCs w:val="16"/>
          <w:lang w:val="es-ES"/>
        </w:rPr>
        <w:t>dozers</w:t>
      </w:r>
      <w:proofErr w:type="spellEnd"/>
      <w:r w:rsidRPr="00373D0A">
        <w:rPr>
          <w:rFonts w:eastAsia="SimSun"/>
          <w:i/>
          <w:iCs/>
          <w:sz w:val="16"/>
          <w:szCs w:val="16"/>
          <w:lang w:val="es-ES"/>
        </w:rPr>
        <w:t xml:space="preserve"> de cadenas, </w:t>
      </w:r>
      <w:proofErr w:type="spellStart"/>
      <w:r w:rsidRPr="00373D0A">
        <w:rPr>
          <w:rFonts w:eastAsia="SimSun"/>
          <w:i/>
          <w:iCs/>
          <w:sz w:val="16"/>
          <w:szCs w:val="16"/>
          <w:lang w:val="es-ES"/>
        </w:rPr>
        <w:t>minicargadoras</w:t>
      </w:r>
      <w:proofErr w:type="spellEnd"/>
      <w:r w:rsidRPr="00373D0A">
        <w:rPr>
          <w:rFonts w:eastAsia="SimSun"/>
          <w:i/>
          <w:iCs/>
          <w:sz w:val="16"/>
          <w:szCs w:val="16"/>
          <w:lang w:val="es-ES"/>
        </w:rPr>
        <w:t xml:space="preserve">, cargadoras compactas de cadenas y carretillas elevadoras todoterreno. A través de los concesionarios CASE, los clientes tienen acceso a un auténtico socio profesional con equipo y servicio postventa de categoría internacional, garantías líderes del sector y financiación flexible. Encontrará más información en </w:t>
      </w:r>
      <w:hyperlink r:id="rId22" w:history="1">
        <w:r w:rsidRPr="00373D0A">
          <w:rPr>
            <w:rFonts w:eastAsia="SimSun"/>
            <w:i/>
            <w:iCs/>
            <w:color w:val="0000FF"/>
            <w:u w:val="single"/>
            <w:lang w:val="es-ES"/>
          </w:rPr>
          <w:t>www.CASEce.com</w:t>
        </w:r>
      </w:hyperlink>
      <w:r w:rsidRPr="00373D0A">
        <w:rPr>
          <w:rFonts w:eastAsia="SimSun"/>
          <w:i/>
          <w:iCs/>
          <w:sz w:val="16"/>
          <w:szCs w:val="16"/>
          <w:lang w:val="es-ES"/>
        </w:rPr>
        <w:t>.</w:t>
      </w:r>
    </w:p>
    <w:p w:rsidR="00373D0A" w:rsidRPr="00373D0A" w:rsidRDefault="00373D0A" w:rsidP="00373D0A">
      <w:pPr>
        <w:jc w:val="both"/>
        <w:rPr>
          <w:rFonts w:eastAsia="SimSun"/>
          <w:i/>
          <w:iCs/>
          <w:sz w:val="16"/>
          <w:szCs w:val="16"/>
          <w:lang w:val="es-ES"/>
        </w:rPr>
      </w:pPr>
      <w:r w:rsidRPr="00373D0A">
        <w:rPr>
          <w:rFonts w:eastAsia="SimSun"/>
          <w:i/>
          <w:iCs/>
          <w:sz w:val="16"/>
          <w:szCs w:val="16"/>
          <w:lang w:val="es-ES"/>
        </w:rPr>
        <w:lastRenderedPageBreak/>
        <w:t xml:space="preserve">CASE </w:t>
      </w:r>
      <w:proofErr w:type="spellStart"/>
      <w:r w:rsidRPr="00373D0A">
        <w:rPr>
          <w:rFonts w:eastAsia="SimSun"/>
          <w:i/>
          <w:iCs/>
          <w:sz w:val="16"/>
          <w:szCs w:val="16"/>
          <w:lang w:val="es-ES"/>
        </w:rPr>
        <w:t>Construction</w:t>
      </w:r>
      <w:proofErr w:type="spellEnd"/>
      <w:r w:rsidRPr="00373D0A">
        <w:rPr>
          <w:rFonts w:eastAsia="SimSun"/>
          <w:i/>
          <w:iCs/>
          <w:sz w:val="16"/>
          <w:szCs w:val="16"/>
          <w:lang w:val="es-ES"/>
        </w:rPr>
        <w:t xml:space="preserve"> </w:t>
      </w:r>
      <w:proofErr w:type="spellStart"/>
      <w:r w:rsidRPr="00373D0A">
        <w:rPr>
          <w:rFonts w:eastAsia="SimSun"/>
          <w:i/>
          <w:iCs/>
          <w:sz w:val="16"/>
          <w:szCs w:val="16"/>
          <w:lang w:val="es-ES"/>
        </w:rPr>
        <w:t>Equipment</w:t>
      </w:r>
      <w:proofErr w:type="spellEnd"/>
      <w:r w:rsidRPr="00373D0A">
        <w:rPr>
          <w:rFonts w:eastAsia="SimSun"/>
          <w:i/>
          <w:iCs/>
          <w:sz w:val="16"/>
          <w:szCs w:val="16"/>
          <w:lang w:val="es-ES"/>
        </w:rPr>
        <w:t xml:space="preserve"> es una marca de CNH Industrial N.V., </w:t>
      </w:r>
      <w:r w:rsidRPr="00373D0A">
        <w:rPr>
          <w:rFonts w:eastAsia="SimSun" w:cs="Arial"/>
          <w:i/>
          <w:iCs/>
          <w:sz w:val="16"/>
          <w:szCs w:val="16"/>
          <w:lang w:val="es-ES"/>
        </w:rPr>
        <w:t>líder mundial en bienes de equipo,</w:t>
      </w:r>
      <w:r w:rsidRPr="00373D0A">
        <w:rPr>
          <w:rFonts w:eastAsia="SimSun"/>
          <w:i/>
          <w:iCs/>
          <w:sz w:val="16"/>
          <w:szCs w:val="16"/>
          <w:lang w:val="es-ES"/>
        </w:rPr>
        <w:t xml:space="preserve"> cuyas acciones cotizan en la Bolsa de Nueva York (NYSE: CNH) y en el  </w:t>
      </w:r>
      <w:proofErr w:type="spellStart"/>
      <w:r w:rsidRPr="00373D0A">
        <w:rPr>
          <w:rFonts w:eastAsia="SimSun"/>
          <w:i/>
          <w:iCs/>
          <w:sz w:val="16"/>
          <w:szCs w:val="16"/>
          <w:lang w:val="es-ES"/>
        </w:rPr>
        <w:t>Mercato</w:t>
      </w:r>
      <w:proofErr w:type="spellEnd"/>
      <w:r w:rsidRPr="00373D0A">
        <w:rPr>
          <w:rFonts w:eastAsia="SimSun"/>
          <w:i/>
          <w:iCs/>
          <w:sz w:val="16"/>
          <w:szCs w:val="16"/>
          <w:lang w:val="es-ES"/>
        </w:rPr>
        <w:t xml:space="preserve"> </w:t>
      </w:r>
      <w:proofErr w:type="spellStart"/>
      <w:r w:rsidRPr="00373D0A">
        <w:rPr>
          <w:rFonts w:eastAsia="SimSun"/>
          <w:i/>
          <w:iCs/>
          <w:sz w:val="16"/>
          <w:szCs w:val="16"/>
          <w:lang w:val="es-ES"/>
        </w:rPr>
        <w:t>Telematico</w:t>
      </w:r>
      <w:proofErr w:type="spellEnd"/>
      <w:r w:rsidRPr="00373D0A">
        <w:rPr>
          <w:rFonts w:eastAsia="SimSun"/>
          <w:i/>
          <w:iCs/>
          <w:sz w:val="16"/>
          <w:szCs w:val="16"/>
          <w:lang w:val="es-ES"/>
        </w:rPr>
        <w:t xml:space="preserve"> </w:t>
      </w:r>
      <w:proofErr w:type="spellStart"/>
      <w:r w:rsidRPr="00373D0A">
        <w:rPr>
          <w:rFonts w:eastAsia="SimSun"/>
          <w:i/>
          <w:iCs/>
          <w:sz w:val="16"/>
          <w:szCs w:val="16"/>
          <w:lang w:val="es-ES"/>
        </w:rPr>
        <w:t>Azionario</w:t>
      </w:r>
      <w:proofErr w:type="spellEnd"/>
      <w:r w:rsidRPr="00373D0A">
        <w:rPr>
          <w:rFonts w:eastAsia="SimSun"/>
          <w:i/>
          <w:iCs/>
          <w:sz w:val="16"/>
          <w:szCs w:val="16"/>
          <w:lang w:val="es-ES"/>
        </w:rPr>
        <w:t xml:space="preserve"> de la Bolsa Italiana (MI: CNHI). Encontrará más información sobre CNH  Industrial en la página web </w:t>
      </w:r>
      <w:hyperlink r:id="rId23" w:history="1">
        <w:r w:rsidRPr="00373D0A">
          <w:rPr>
            <w:rFonts w:eastAsia="SimSun"/>
            <w:i/>
            <w:iCs/>
            <w:color w:val="0000FF"/>
            <w:u w:val="single"/>
            <w:lang w:val="es-ES"/>
          </w:rPr>
          <w:t>www.cnhindustrial.com</w:t>
        </w:r>
      </w:hyperlink>
      <w:r w:rsidRPr="00373D0A">
        <w:rPr>
          <w:rFonts w:eastAsia="SimSun"/>
          <w:color w:val="0000FF"/>
          <w:u w:val="single"/>
          <w:lang w:val="es-ES"/>
        </w:rPr>
        <w:t>.</w:t>
      </w:r>
    </w:p>
    <w:p w:rsidR="00373D0A" w:rsidRPr="00373D0A" w:rsidRDefault="00373D0A" w:rsidP="00373D0A">
      <w:pPr>
        <w:rPr>
          <w:rFonts w:eastAsia="SimSun"/>
          <w:i/>
          <w:iCs/>
          <w:sz w:val="16"/>
          <w:szCs w:val="16"/>
          <w:lang w:val="es-ES"/>
        </w:rPr>
      </w:pPr>
    </w:p>
    <w:p w:rsidR="00373D0A" w:rsidRPr="00373D0A" w:rsidRDefault="00373D0A" w:rsidP="00373D0A">
      <w:pPr>
        <w:jc w:val="both"/>
        <w:rPr>
          <w:rFonts w:eastAsia="SimSun"/>
          <w:i/>
          <w:color w:val="auto"/>
          <w:sz w:val="16"/>
          <w:szCs w:val="16"/>
          <w:lang w:val="es-ES"/>
        </w:rPr>
      </w:pPr>
    </w:p>
    <w:p w:rsidR="00373D0A" w:rsidRPr="00373D0A" w:rsidRDefault="00373D0A" w:rsidP="00373D0A">
      <w:pPr>
        <w:rPr>
          <w:rFonts w:eastAsia="SimSun"/>
          <w:b/>
          <w:bCs/>
          <w:lang w:val="es-ES"/>
        </w:rPr>
      </w:pPr>
      <w:r w:rsidRPr="00373D0A">
        <w:rPr>
          <w:rFonts w:eastAsia="SimSun"/>
          <w:b/>
          <w:bCs/>
          <w:lang w:val="es-ES"/>
        </w:rPr>
        <w:t>Para más información, contactar con:</w:t>
      </w:r>
    </w:p>
    <w:p w:rsidR="00373D0A" w:rsidRPr="00373D0A" w:rsidRDefault="00373D0A" w:rsidP="00373D0A">
      <w:pPr>
        <w:rPr>
          <w:rFonts w:eastAsia="SimSun"/>
          <w:lang w:val="es-ES"/>
        </w:rPr>
      </w:pPr>
    </w:p>
    <w:p w:rsidR="00373D0A" w:rsidRPr="00373D0A" w:rsidRDefault="00373D0A" w:rsidP="00373D0A">
      <w:pPr>
        <w:rPr>
          <w:rFonts w:ascii="Helvetica" w:eastAsia="SimSun" w:hAnsi="Helvetica" w:cs="Helvetica"/>
          <w:sz w:val="20"/>
          <w:lang w:eastAsia="es-ES"/>
        </w:rPr>
      </w:pPr>
      <w:r w:rsidRPr="00373D0A">
        <w:rPr>
          <w:rFonts w:eastAsia="SimSun"/>
        </w:rPr>
        <w:t>Nuria Martí (ALARCON &amp; HARRIS)</w:t>
      </w:r>
    </w:p>
    <w:p w:rsidR="00373D0A" w:rsidRPr="00373D0A" w:rsidRDefault="00373D0A" w:rsidP="00373D0A">
      <w:pPr>
        <w:rPr>
          <w:rFonts w:eastAsia="SimSun"/>
        </w:rPr>
      </w:pPr>
      <w:r w:rsidRPr="00373D0A">
        <w:rPr>
          <w:rFonts w:eastAsia="SimSun"/>
        </w:rPr>
        <w:t>Tel: +34 91 415 30 20</w:t>
      </w:r>
    </w:p>
    <w:p w:rsidR="00373D0A" w:rsidRPr="00373D0A" w:rsidRDefault="00373D0A" w:rsidP="00373D0A">
      <w:pPr>
        <w:rPr>
          <w:rFonts w:eastAsia="SimSun"/>
          <w:lang w:val="fr-FR"/>
        </w:rPr>
      </w:pPr>
      <w:r w:rsidRPr="00373D0A">
        <w:rPr>
          <w:rFonts w:eastAsia="SimSun"/>
          <w:lang w:val="fr-FR"/>
        </w:rPr>
        <w:t xml:space="preserve">Email: </w:t>
      </w:r>
      <w:hyperlink r:id="rId24" w:history="1">
        <w:r w:rsidRPr="00373D0A">
          <w:rPr>
            <w:rFonts w:eastAsia="SimSun"/>
            <w:color w:val="0000FF"/>
            <w:u w:val="single"/>
            <w:lang w:val="fr-FR"/>
          </w:rPr>
          <w:t>nmarti@alarconyharris.com</w:t>
        </w:r>
      </w:hyperlink>
    </w:p>
    <w:p w:rsidR="00197D07" w:rsidRPr="00373D0A" w:rsidRDefault="00197D07" w:rsidP="00D612C4">
      <w:pPr>
        <w:pStyle w:val="01TESTO"/>
        <w:jc w:val="both"/>
        <w:rPr>
          <w:rFonts w:cs="Arial"/>
          <w:vanish/>
          <w:szCs w:val="19"/>
          <w:lang w:val="es-ES"/>
        </w:rPr>
      </w:pPr>
    </w:p>
    <w:p w:rsidR="000A4F6A" w:rsidRPr="00373D0A" w:rsidRDefault="000A4F6A" w:rsidP="00D612C4">
      <w:pPr>
        <w:jc w:val="both"/>
        <w:rPr>
          <w:rFonts w:cs="Arial"/>
          <w:vanish/>
          <w:szCs w:val="19"/>
          <w:lang w:val="es-ES"/>
        </w:rPr>
      </w:pPr>
    </w:p>
    <w:sectPr w:rsidR="000A4F6A" w:rsidRPr="00373D0A" w:rsidSect="00D01F1C">
      <w:headerReference w:type="default" r:id="rId25"/>
      <w:footerReference w:type="default" r:id="rId26"/>
      <w:headerReference w:type="first" r:id="rId27"/>
      <w:footerReference w:type="first" r:id="rId28"/>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FF" w:rsidRDefault="00424FFF">
      <w:pPr>
        <w:spacing w:line="240" w:lineRule="auto"/>
      </w:pPr>
      <w:r>
        <w:separator/>
      </w:r>
    </w:p>
  </w:endnote>
  <w:endnote w:type="continuationSeparator" w:id="0">
    <w:p w:rsidR="00424FFF" w:rsidRDefault="00424F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Default="00191B6C" w:rsidP="00D01F1C">
    <w:pPr>
      <w:pStyle w:val="Piedepgina"/>
    </w:pPr>
  </w:p>
  <w:p w:rsidR="00191B6C" w:rsidRDefault="00191B6C" w:rsidP="00D01F1C">
    <w:pPr>
      <w:pStyle w:val="Piedepgina"/>
    </w:pPr>
  </w:p>
  <w:p w:rsidR="00191B6C" w:rsidRDefault="00191B6C" w:rsidP="00D01F1C">
    <w:pPr>
      <w:pStyle w:val="Piedepgina"/>
    </w:pPr>
  </w:p>
  <w:p w:rsidR="00191B6C" w:rsidRDefault="00191B6C" w:rsidP="00D01F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Pr="00C7201A" w:rsidRDefault="00191B6C" w:rsidP="00D01F1C">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FF" w:rsidRDefault="00424FFF">
      <w:pPr>
        <w:spacing w:line="240" w:lineRule="auto"/>
      </w:pPr>
      <w:r>
        <w:separator/>
      </w:r>
    </w:p>
  </w:footnote>
  <w:footnote w:type="continuationSeparator" w:id="0">
    <w:p w:rsidR="00424FFF" w:rsidRDefault="00424F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B6C" w:rsidRDefault="00191B6C" w:rsidP="00D01F1C">
    <w:r>
      <w:rPr>
        <w:noProof/>
        <w:lang w:val="es-ES" w:eastAsia="es-ES"/>
      </w:rPr>
      <w:drawing>
        <wp:anchor distT="0" distB="0" distL="114300" distR="114300" simplePos="0" relativeHeight="251659776"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51" name="Imagen 2"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03_CAS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F36E7">
      <w:rPr>
        <w:noProof/>
        <w:lang w:val="es-ES" w:eastAsia="es-ES"/>
      </w:rPr>
      <w:pict>
        <v:line id="Line 47" o:spid="_x0000_s10243" style="position:absolute;z-index:251656704;visibility:visible;mso-position-horizontal-relative:text;mso-position-vertical-relative:text" from="0,35.65pt" to="540pt,35.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" strokeweight=".11pt">
          <v:fill o:detectmouseclick="t"/>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8809" w:type="dxa"/>
      <w:tblCellMar>
        <w:left w:w="0" w:type="dxa"/>
        <w:right w:w="0" w:type="dxa"/>
      </w:tblCellMar>
      <w:tblLook w:val="00A0" w:firstRow="1" w:lastRow="0" w:firstColumn="1" w:lastColumn="0" w:noHBand="0" w:noVBand="0"/>
    </w:tblPr>
    <w:tblGrid>
      <w:gridCol w:w="2614"/>
      <w:gridCol w:w="2835"/>
      <w:gridCol w:w="3360"/>
    </w:tblGrid>
    <w:tr w:rsidR="00191B6C" w:rsidRPr="00C7201A">
      <w:trPr>
        <w:trHeight w:val="735"/>
      </w:trPr>
      <w:tc>
        <w:tcPr>
          <w:tcW w:w="2614" w:type="dxa"/>
          <w:shd w:val="clear" w:color="auto" w:fill="auto"/>
          <w:vAlign w:val="bottom"/>
        </w:tcPr>
        <w:p w:rsidR="00191B6C" w:rsidRPr="00750ACB" w:rsidRDefault="00191B6C" w:rsidP="00D01F1C">
          <w:pPr>
            <w:pStyle w:val="04FOOTER"/>
            <w:ind w:right="-101"/>
            <w:rPr>
              <w:sz w:val="14"/>
              <w:highlight w:val="yellow"/>
              <w:lang w:val="en-US"/>
            </w:rPr>
          </w:pPr>
        </w:p>
      </w:tc>
      <w:tc>
        <w:tcPr>
          <w:tcW w:w="2835" w:type="dxa"/>
          <w:vAlign w:val="bottom"/>
        </w:tcPr>
        <w:p w:rsidR="00191B6C" w:rsidRPr="00750ACB" w:rsidRDefault="00191B6C" w:rsidP="00D01F1C">
          <w:pPr>
            <w:pStyle w:val="04FOOTER"/>
            <w:ind w:right="-101"/>
            <w:rPr>
              <w:sz w:val="14"/>
              <w:highlight w:val="yellow"/>
            </w:rPr>
          </w:pPr>
        </w:p>
      </w:tc>
      <w:tc>
        <w:tcPr>
          <w:tcW w:w="3360" w:type="dxa"/>
          <w:shd w:val="clear" w:color="auto" w:fill="auto"/>
          <w:vAlign w:val="bottom"/>
        </w:tcPr>
        <w:p w:rsidR="00191B6C" w:rsidRPr="00750ACB" w:rsidRDefault="00191B6C" w:rsidP="00D01F1C">
          <w:pPr>
            <w:pStyle w:val="04FOOTER"/>
            <w:ind w:right="-101"/>
            <w:rPr>
              <w:sz w:val="14"/>
              <w:highlight w:val="yellow"/>
            </w:rPr>
          </w:pPr>
        </w:p>
      </w:tc>
    </w:tr>
  </w:tbl>
  <w:p w:rsidR="00191B6C" w:rsidRPr="00B32BE8" w:rsidRDefault="00191B6C" w:rsidP="00D01F1C">
    <w:pPr>
      <w:rPr>
        <w:vanish/>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191B6C">
      <w:trPr>
        <w:trHeight w:val="5211"/>
      </w:trPr>
      <w:tc>
        <w:tcPr>
          <w:tcW w:w="606" w:type="dxa"/>
          <w:shd w:val="clear" w:color="auto" w:fill="auto"/>
          <w:vAlign w:val="bottom"/>
        </w:tcPr>
        <w:p w:rsidR="00191B6C" w:rsidRDefault="00191B6C" w:rsidP="00D01F1C">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12065"/>
                <wp:wrapNone/>
                <wp:docPr id="50"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anchor>
            </w:drawing>
          </w:r>
        </w:p>
      </w:tc>
    </w:tr>
  </w:tbl>
  <w:p w:rsidR="00191B6C" w:rsidRDefault="00191B6C" w:rsidP="00D01F1C">
    <w:r>
      <w:rPr>
        <w:noProof/>
        <w:lang w:val="es-ES" w:eastAsia="es-ES"/>
      </w:rPr>
      <w:drawing>
        <wp:anchor distT="0" distB="0" distL="114300" distR="114300" simplePos="0" relativeHeight="251657728" behindDoc="1" locked="0" layoutInCell="1" allowOverlap="1">
          <wp:simplePos x="0" y="0"/>
          <wp:positionH relativeFrom="column">
            <wp:posOffset>-1106170</wp:posOffset>
          </wp:positionH>
          <wp:positionV relativeFrom="paragraph">
            <wp:posOffset>3606165</wp:posOffset>
          </wp:positionV>
          <wp:extent cx="622300" cy="368300"/>
          <wp:effectExtent l="0" t="0" r="12700" b="12700"/>
          <wp:wrapNone/>
          <wp:docPr id="49"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anchor>
      </w:drawing>
    </w:r>
    <w:r>
      <w:rPr>
        <w:noProof/>
        <w:lang w:val="es-ES" w:eastAsia="es-ES"/>
      </w:rPr>
      <w:drawing>
        <wp:anchor distT="0" distB="0" distL="114300" distR="114300" simplePos="0" relativeHeight="251658752" behindDoc="1" locked="0" layoutInCell="1" allowOverlap="1">
          <wp:simplePos x="0" y="0"/>
          <wp:positionH relativeFrom="margin">
            <wp:posOffset>-1353820</wp:posOffset>
          </wp:positionH>
          <wp:positionV relativeFrom="margin">
            <wp:posOffset>-1343025</wp:posOffset>
          </wp:positionV>
          <wp:extent cx="1236345" cy="444500"/>
          <wp:effectExtent l="0" t="0" r="8255" b="12700"/>
          <wp:wrapNone/>
          <wp:docPr id="48" name="Imagen 58" descr="03_CA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descr="03_CAS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36345" cy="444500"/>
                  </a:xfrm>
                  <a:prstGeom prst="rect">
                    <a:avLst/>
                  </a:prstGeom>
                  <a:noFill/>
                  <a:ln>
                    <a:noFill/>
                  </a:ln>
                </pic:spPr>
              </pic:pic>
            </a:graphicData>
          </a:graphic>
        </wp:anchor>
      </w:drawing>
    </w:r>
    <w:r w:rsidR="008F36E7">
      <w:rPr>
        <w:noProof/>
        <w:lang w:val="es-ES" w:eastAsia="es-ES"/>
      </w:rPr>
      <w:pict>
        <v:line id="Line 34" o:spid="_x0000_s10242" style="position:absolute;z-index:251654656;visibility:visible;mso-position-horizontal-relative:text;mso-position-vertical-relative:text" from="-.05pt,35.85pt" to="557.95pt,35.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" strokeweight=".03739mm">
          <v:fill o:detectmouseclick="t"/>
        </v:line>
      </w:pict>
    </w:r>
    <w:r w:rsidR="008F36E7">
      <w:rPr>
        <w:noProof/>
        <w:lang w:val="es-ES" w:eastAsia="es-ES"/>
      </w:rPr>
      <w:pict>
        <v:line id="Line 35" o:spid="_x0000_s10241" style="position:absolute;z-index:251655680;visibility:visible;mso-position-horizontal-relative:text;mso-position-vertical-relative:text" from="-153.1pt,268.85pt" to="-99.1pt,268.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" strokeweight=".03739mm">
          <v:fill o:detectmouseclick="t"/>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B2F8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5F22A32"/>
    <w:multiLevelType w:val="hybridMultilevel"/>
    <w:tmpl w:val="D3DE8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024FB5"/>
    <w:multiLevelType w:val="hybridMultilevel"/>
    <w:tmpl w:val="6212C19E"/>
    <w:lvl w:ilvl="0" w:tplc="9A8A2DAE">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4" fill="f" fillcolor="white" stroke="f">
      <v:fill color="white" on="f"/>
      <v:stroke on="f"/>
    </o:shapedefaults>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B32BE8"/>
    <w:rsid w:val="000120A1"/>
    <w:rsid w:val="0001433C"/>
    <w:rsid w:val="00017072"/>
    <w:rsid w:val="00021EE3"/>
    <w:rsid w:val="000222F2"/>
    <w:rsid w:val="00024426"/>
    <w:rsid w:val="00036197"/>
    <w:rsid w:val="0004651C"/>
    <w:rsid w:val="00047C96"/>
    <w:rsid w:val="00060289"/>
    <w:rsid w:val="00065412"/>
    <w:rsid w:val="0008171E"/>
    <w:rsid w:val="000849DF"/>
    <w:rsid w:val="00084B1F"/>
    <w:rsid w:val="00084D26"/>
    <w:rsid w:val="0009610F"/>
    <w:rsid w:val="000A4F6A"/>
    <w:rsid w:val="000E1A7E"/>
    <w:rsid w:val="000E71CF"/>
    <w:rsid w:val="000E7733"/>
    <w:rsid w:val="000F2B17"/>
    <w:rsid w:val="000F5EE1"/>
    <w:rsid w:val="000F7DA3"/>
    <w:rsid w:val="00105F55"/>
    <w:rsid w:val="00120A22"/>
    <w:rsid w:val="00121E80"/>
    <w:rsid w:val="00132964"/>
    <w:rsid w:val="00140680"/>
    <w:rsid w:val="001448FC"/>
    <w:rsid w:val="00156BEB"/>
    <w:rsid w:val="00157752"/>
    <w:rsid w:val="001618D6"/>
    <w:rsid w:val="001642D7"/>
    <w:rsid w:val="00165815"/>
    <w:rsid w:val="00166BE9"/>
    <w:rsid w:val="00170B08"/>
    <w:rsid w:val="00171CD9"/>
    <w:rsid w:val="00173B3D"/>
    <w:rsid w:val="00174619"/>
    <w:rsid w:val="0017544B"/>
    <w:rsid w:val="001767F2"/>
    <w:rsid w:val="001841DA"/>
    <w:rsid w:val="00191B6C"/>
    <w:rsid w:val="00194B71"/>
    <w:rsid w:val="00195CCA"/>
    <w:rsid w:val="00196F60"/>
    <w:rsid w:val="00197D07"/>
    <w:rsid w:val="001A37A3"/>
    <w:rsid w:val="001B5634"/>
    <w:rsid w:val="001C3014"/>
    <w:rsid w:val="001D08A3"/>
    <w:rsid w:val="001D1C29"/>
    <w:rsid w:val="002017AE"/>
    <w:rsid w:val="00221028"/>
    <w:rsid w:val="002248FC"/>
    <w:rsid w:val="00225E0B"/>
    <w:rsid w:val="002272D1"/>
    <w:rsid w:val="00236550"/>
    <w:rsid w:val="00237128"/>
    <w:rsid w:val="0024223A"/>
    <w:rsid w:val="00263776"/>
    <w:rsid w:val="00273BE8"/>
    <w:rsid w:val="00282A60"/>
    <w:rsid w:val="00283150"/>
    <w:rsid w:val="002866E6"/>
    <w:rsid w:val="00295F5B"/>
    <w:rsid w:val="002A0272"/>
    <w:rsid w:val="002A0A55"/>
    <w:rsid w:val="002B0D45"/>
    <w:rsid w:val="002B4B2A"/>
    <w:rsid w:val="002E0413"/>
    <w:rsid w:val="002E42D8"/>
    <w:rsid w:val="002F6342"/>
    <w:rsid w:val="002F7342"/>
    <w:rsid w:val="002F74C3"/>
    <w:rsid w:val="00325CA3"/>
    <w:rsid w:val="00330590"/>
    <w:rsid w:val="003577EC"/>
    <w:rsid w:val="00363FE5"/>
    <w:rsid w:val="00373D0A"/>
    <w:rsid w:val="003761F5"/>
    <w:rsid w:val="00376E0D"/>
    <w:rsid w:val="003818E0"/>
    <w:rsid w:val="003925AD"/>
    <w:rsid w:val="00394194"/>
    <w:rsid w:val="003A25BD"/>
    <w:rsid w:val="003B01A0"/>
    <w:rsid w:val="003B1753"/>
    <w:rsid w:val="003B6440"/>
    <w:rsid w:val="003B68E3"/>
    <w:rsid w:val="003C1713"/>
    <w:rsid w:val="003C1A58"/>
    <w:rsid w:val="003C4F6A"/>
    <w:rsid w:val="003D21A6"/>
    <w:rsid w:val="003D224E"/>
    <w:rsid w:val="003D4B8A"/>
    <w:rsid w:val="003E30F0"/>
    <w:rsid w:val="003E6488"/>
    <w:rsid w:val="003E69C1"/>
    <w:rsid w:val="003F2BAE"/>
    <w:rsid w:val="003F3969"/>
    <w:rsid w:val="00410435"/>
    <w:rsid w:val="0042385C"/>
    <w:rsid w:val="00424FFF"/>
    <w:rsid w:val="00426608"/>
    <w:rsid w:val="0043406A"/>
    <w:rsid w:val="0046276A"/>
    <w:rsid w:val="004632B1"/>
    <w:rsid w:val="00463600"/>
    <w:rsid w:val="0046565A"/>
    <w:rsid w:val="00467BD4"/>
    <w:rsid w:val="00473E67"/>
    <w:rsid w:val="00474ED5"/>
    <w:rsid w:val="00477548"/>
    <w:rsid w:val="0048550D"/>
    <w:rsid w:val="00491B25"/>
    <w:rsid w:val="00495277"/>
    <w:rsid w:val="00496DE7"/>
    <w:rsid w:val="004A69F7"/>
    <w:rsid w:val="004B792F"/>
    <w:rsid w:val="004C1A8A"/>
    <w:rsid w:val="004D0018"/>
    <w:rsid w:val="004E27F6"/>
    <w:rsid w:val="004E4796"/>
    <w:rsid w:val="004E5104"/>
    <w:rsid w:val="004F363E"/>
    <w:rsid w:val="004F7034"/>
    <w:rsid w:val="004F791E"/>
    <w:rsid w:val="00500EE0"/>
    <w:rsid w:val="00510635"/>
    <w:rsid w:val="0052035D"/>
    <w:rsid w:val="005212D9"/>
    <w:rsid w:val="005227B5"/>
    <w:rsid w:val="00523FB4"/>
    <w:rsid w:val="005240E6"/>
    <w:rsid w:val="00526224"/>
    <w:rsid w:val="00527696"/>
    <w:rsid w:val="0053481D"/>
    <w:rsid w:val="00551A21"/>
    <w:rsid w:val="00556669"/>
    <w:rsid w:val="00567398"/>
    <w:rsid w:val="00582D6E"/>
    <w:rsid w:val="00582DC8"/>
    <w:rsid w:val="00595532"/>
    <w:rsid w:val="0059734F"/>
    <w:rsid w:val="005A5028"/>
    <w:rsid w:val="005A6C8C"/>
    <w:rsid w:val="005A73A9"/>
    <w:rsid w:val="005B77F1"/>
    <w:rsid w:val="005C1E9F"/>
    <w:rsid w:val="005C5C46"/>
    <w:rsid w:val="005D0DFE"/>
    <w:rsid w:val="005D1D11"/>
    <w:rsid w:val="0060424F"/>
    <w:rsid w:val="00612508"/>
    <w:rsid w:val="00617B37"/>
    <w:rsid w:val="00623E11"/>
    <w:rsid w:val="00632A9D"/>
    <w:rsid w:val="00634A12"/>
    <w:rsid w:val="0063533E"/>
    <w:rsid w:val="00637C30"/>
    <w:rsid w:val="0064142F"/>
    <w:rsid w:val="00646A70"/>
    <w:rsid w:val="0065024B"/>
    <w:rsid w:val="00652C19"/>
    <w:rsid w:val="006650AB"/>
    <w:rsid w:val="00682611"/>
    <w:rsid w:val="006835F8"/>
    <w:rsid w:val="006844E7"/>
    <w:rsid w:val="006869DA"/>
    <w:rsid w:val="00687FC8"/>
    <w:rsid w:val="0069041B"/>
    <w:rsid w:val="006963E9"/>
    <w:rsid w:val="00697577"/>
    <w:rsid w:val="006A27EA"/>
    <w:rsid w:val="006B6661"/>
    <w:rsid w:val="006C1B2A"/>
    <w:rsid w:val="006E4181"/>
    <w:rsid w:val="006E650B"/>
    <w:rsid w:val="006E75BF"/>
    <w:rsid w:val="00704A21"/>
    <w:rsid w:val="00707BB8"/>
    <w:rsid w:val="00711DE5"/>
    <w:rsid w:val="00720E55"/>
    <w:rsid w:val="0072308B"/>
    <w:rsid w:val="00723D5B"/>
    <w:rsid w:val="00725DED"/>
    <w:rsid w:val="0072724F"/>
    <w:rsid w:val="00732D13"/>
    <w:rsid w:val="00752F5C"/>
    <w:rsid w:val="00757B78"/>
    <w:rsid w:val="00761C00"/>
    <w:rsid w:val="0076781F"/>
    <w:rsid w:val="0077205D"/>
    <w:rsid w:val="00784D02"/>
    <w:rsid w:val="00792C47"/>
    <w:rsid w:val="007B3B4C"/>
    <w:rsid w:val="007C2782"/>
    <w:rsid w:val="007C7733"/>
    <w:rsid w:val="007D04F6"/>
    <w:rsid w:val="007D0F92"/>
    <w:rsid w:val="007D39AD"/>
    <w:rsid w:val="007E1AD8"/>
    <w:rsid w:val="007E6FAD"/>
    <w:rsid w:val="007F078C"/>
    <w:rsid w:val="007F2101"/>
    <w:rsid w:val="008062BC"/>
    <w:rsid w:val="008222D0"/>
    <w:rsid w:val="008327F4"/>
    <w:rsid w:val="008416ED"/>
    <w:rsid w:val="008418A7"/>
    <w:rsid w:val="00847CCF"/>
    <w:rsid w:val="008510AB"/>
    <w:rsid w:val="00852ABE"/>
    <w:rsid w:val="008549A3"/>
    <w:rsid w:val="00857C2E"/>
    <w:rsid w:val="008632C3"/>
    <w:rsid w:val="00863785"/>
    <w:rsid w:val="0086570B"/>
    <w:rsid w:val="00870317"/>
    <w:rsid w:val="00875FC4"/>
    <w:rsid w:val="00876FEA"/>
    <w:rsid w:val="00890809"/>
    <w:rsid w:val="008A14E0"/>
    <w:rsid w:val="008B1E9C"/>
    <w:rsid w:val="008B4C8B"/>
    <w:rsid w:val="008B608C"/>
    <w:rsid w:val="008C5AAC"/>
    <w:rsid w:val="008D4A64"/>
    <w:rsid w:val="008D7781"/>
    <w:rsid w:val="008E3ADA"/>
    <w:rsid w:val="008E6D38"/>
    <w:rsid w:val="008F36E7"/>
    <w:rsid w:val="008F459C"/>
    <w:rsid w:val="008F5499"/>
    <w:rsid w:val="00901F74"/>
    <w:rsid w:val="0090486D"/>
    <w:rsid w:val="00911291"/>
    <w:rsid w:val="00922012"/>
    <w:rsid w:val="00923E43"/>
    <w:rsid w:val="0092405C"/>
    <w:rsid w:val="009354AA"/>
    <w:rsid w:val="0093575E"/>
    <w:rsid w:val="00936668"/>
    <w:rsid w:val="0094780E"/>
    <w:rsid w:val="00950974"/>
    <w:rsid w:val="00975565"/>
    <w:rsid w:val="00977FE9"/>
    <w:rsid w:val="009840E2"/>
    <w:rsid w:val="00986747"/>
    <w:rsid w:val="00986929"/>
    <w:rsid w:val="00996F9C"/>
    <w:rsid w:val="0099762C"/>
    <w:rsid w:val="009A09AF"/>
    <w:rsid w:val="009A2480"/>
    <w:rsid w:val="009A393F"/>
    <w:rsid w:val="009C0E16"/>
    <w:rsid w:val="009C4DE7"/>
    <w:rsid w:val="009C5112"/>
    <w:rsid w:val="009D2CF5"/>
    <w:rsid w:val="009E2F65"/>
    <w:rsid w:val="009E78AF"/>
    <w:rsid w:val="009F4E16"/>
    <w:rsid w:val="009F6697"/>
    <w:rsid w:val="00A0356F"/>
    <w:rsid w:val="00A03FB5"/>
    <w:rsid w:val="00A06413"/>
    <w:rsid w:val="00A071F9"/>
    <w:rsid w:val="00A11C95"/>
    <w:rsid w:val="00A124E3"/>
    <w:rsid w:val="00A20A0A"/>
    <w:rsid w:val="00A21A18"/>
    <w:rsid w:val="00A25B5E"/>
    <w:rsid w:val="00A33AFD"/>
    <w:rsid w:val="00A35D4D"/>
    <w:rsid w:val="00A36F0E"/>
    <w:rsid w:val="00A40810"/>
    <w:rsid w:val="00A515EF"/>
    <w:rsid w:val="00A526AF"/>
    <w:rsid w:val="00A527D2"/>
    <w:rsid w:val="00A6391F"/>
    <w:rsid w:val="00A65079"/>
    <w:rsid w:val="00A76496"/>
    <w:rsid w:val="00A806E1"/>
    <w:rsid w:val="00A86168"/>
    <w:rsid w:val="00AA52E9"/>
    <w:rsid w:val="00AA74C6"/>
    <w:rsid w:val="00AB7BD8"/>
    <w:rsid w:val="00AC593E"/>
    <w:rsid w:val="00AC59F7"/>
    <w:rsid w:val="00AD1B64"/>
    <w:rsid w:val="00AD58F5"/>
    <w:rsid w:val="00AD6A8E"/>
    <w:rsid w:val="00AF4801"/>
    <w:rsid w:val="00AF55EA"/>
    <w:rsid w:val="00B01CBB"/>
    <w:rsid w:val="00B11CAA"/>
    <w:rsid w:val="00B249D8"/>
    <w:rsid w:val="00B314DB"/>
    <w:rsid w:val="00B32BE8"/>
    <w:rsid w:val="00B4017B"/>
    <w:rsid w:val="00B4271F"/>
    <w:rsid w:val="00B44C3B"/>
    <w:rsid w:val="00B462D7"/>
    <w:rsid w:val="00B46B04"/>
    <w:rsid w:val="00B53DB2"/>
    <w:rsid w:val="00B55E40"/>
    <w:rsid w:val="00B6126C"/>
    <w:rsid w:val="00B622F0"/>
    <w:rsid w:val="00B76635"/>
    <w:rsid w:val="00B81EB6"/>
    <w:rsid w:val="00B85252"/>
    <w:rsid w:val="00B86EA9"/>
    <w:rsid w:val="00B96711"/>
    <w:rsid w:val="00BA6862"/>
    <w:rsid w:val="00BD4351"/>
    <w:rsid w:val="00BF40B2"/>
    <w:rsid w:val="00C00DD7"/>
    <w:rsid w:val="00C15592"/>
    <w:rsid w:val="00C41FA8"/>
    <w:rsid w:val="00C4419C"/>
    <w:rsid w:val="00C55837"/>
    <w:rsid w:val="00C70E26"/>
    <w:rsid w:val="00C7139F"/>
    <w:rsid w:val="00C71BAE"/>
    <w:rsid w:val="00C72D0A"/>
    <w:rsid w:val="00C77355"/>
    <w:rsid w:val="00C85ECD"/>
    <w:rsid w:val="00C87C6E"/>
    <w:rsid w:val="00C91D8A"/>
    <w:rsid w:val="00C9238C"/>
    <w:rsid w:val="00CA5F8E"/>
    <w:rsid w:val="00CB54F7"/>
    <w:rsid w:val="00CC29B6"/>
    <w:rsid w:val="00CC336A"/>
    <w:rsid w:val="00CD0140"/>
    <w:rsid w:val="00CE29FA"/>
    <w:rsid w:val="00CE43D4"/>
    <w:rsid w:val="00D01F1C"/>
    <w:rsid w:val="00D067C0"/>
    <w:rsid w:val="00D1162B"/>
    <w:rsid w:val="00D12FE5"/>
    <w:rsid w:val="00D13813"/>
    <w:rsid w:val="00D15A2A"/>
    <w:rsid w:val="00D3457C"/>
    <w:rsid w:val="00D446D2"/>
    <w:rsid w:val="00D45362"/>
    <w:rsid w:val="00D47AE4"/>
    <w:rsid w:val="00D5394C"/>
    <w:rsid w:val="00D544A5"/>
    <w:rsid w:val="00D557BC"/>
    <w:rsid w:val="00D612C4"/>
    <w:rsid w:val="00D63E9D"/>
    <w:rsid w:val="00D73CFA"/>
    <w:rsid w:val="00D82FE1"/>
    <w:rsid w:val="00D86B46"/>
    <w:rsid w:val="00DA3AB9"/>
    <w:rsid w:val="00DC4A12"/>
    <w:rsid w:val="00DD03CF"/>
    <w:rsid w:val="00DD1372"/>
    <w:rsid w:val="00DD352A"/>
    <w:rsid w:val="00DD61FF"/>
    <w:rsid w:val="00DD745C"/>
    <w:rsid w:val="00DD7C58"/>
    <w:rsid w:val="00DF2F26"/>
    <w:rsid w:val="00DF6A14"/>
    <w:rsid w:val="00E02ECC"/>
    <w:rsid w:val="00E14831"/>
    <w:rsid w:val="00E153C8"/>
    <w:rsid w:val="00E23075"/>
    <w:rsid w:val="00E26958"/>
    <w:rsid w:val="00E35473"/>
    <w:rsid w:val="00E37299"/>
    <w:rsid w:val="00E403B2"/>
    <w:rsid w:val="00E46D85"/>
    <w:rsid w:val="00E512F6"/>
    <w:rsid w:val="00E51B36"/>
    <w:rsid w:val="00E54BE4"/>
    <w:rsid w:val="00E552F4"/>
    <w:rsid w:val="00E56ED4"/>
    <w:rsid w:val="00E603F5"/>
    <w:rsid w:val="00E61DCC"/>
    <w:rsid w:val="00E72A35"/>
    <w:rsid w:val="00E84A88"/>
    <w:rsid w:val="00E902C9"/>
    <w:rsid w:val="00E937D0"/>
    <w:rsid w:val="00E9717C"/>
    <w:rsid w:val="00EA2763"/>
    <w:rsid w:val="00EC4604"/>
    <w:rsid w:val="00EE5B0D"/>
    <w:rsid w:val="00EE7D68"/>
    <w:rsid w:val="00EF3E92"/>
    <w:rsid w:val="00F1595E"/>
    <w:rsid w:val="00F3099C"/>
    <w:rsid w:val="00F3383B"/>
    <w:rsid w:val="00F34902"/>
    <w:rsid w:val="00F4331E"/>
    <w:rsid w:val="00F433E0"/>
    <w:rsid w:val="00F43A90"/>
    <w:rsid w:val="00F56D48"/>
    <w:rsid w:val="00F624CE"/>
    <w:rsid w:val="00F62F6F"/>
    <w:rsid w:val="00F7068B"/>
    <w:rsid w:val="00F76120"/>
    <w:rsid w:val="00F77DB9"/>
    <w:rsid w:val="00F81DB9"/>
    <w:rsid w:val="00FA22BF"/>
    <w:rsid w:val="00FC7335"/>
    <w:rsid w:val="00FE248E"/>
    <w:rsid w:val="00FF50A9"/>
    <w:rsid w:val="00FF5D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4316"/>
    <w:pPr>
      <w:spacing w:line="300" w:lineRule="exact"/>
    </w:pPr>
    <w:rPr>
      <w:rFonts w:ascii="Arial" w:hAnsi="Arial"/>
      <w:color w:val="000000"/>
      <w:sz w:val="19"/>
      <w:lang w:val="it-IT" w:eastAsia="it-IT"/>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C1652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rPr>
  </w:style>
  <w:style w:type="character" w:styleId="Hipervnculo">
    <w:name w:val="Hyperlink"/>
    <w:uiPriority w:val="99"/>
    <w:unhideWhenUsed/>
    <w:rsid w:val="003F2CD9"/>
    <w:rPr>
      <w:color w:val="0000FF"/>
      <w:u w:val="single"/>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rPr>
  </w:style>
  <w:style w:type="character" w:customStyle="1" w:styleId="hps">
    <w:name w:val="hps"/>
    <w:basedOn w:val="Fuentedeprrafopredeter"/>
    <w:rsid w:val="00EA46C6"/>
  </w:style>
  <w:style w:type="paragraph" w:customStyle="1" w:styleId="Boilerplate">
    <w:name w:val="Boilerplate"/>
    <w:basedOn w:val="Normal"/>
    <w:uiPriority w:val="99"/>
    <w:rsid w:val="001A6607"/>
    <w:pPr>
      <w:spacing w:line="240" w:lineRule="auto"/>
    </w:pPr>
    <w:rPr>
      <w:rFonts w:eastAsia="Times"/>
      <w:i/>
      <w:color w:val="auto"/>
      <w:sz w:val="14"/>
      <w:lang w:val="en-GB" w:eastAsia="en-US"/>
    </w:rPr>
  </w:style>
  <w:style w:type="paragraph" w:customStyle="1" w:styleId="style2">
    <w:name w:val="style2"/>
    <w:basedOn w:val="Normal"/>
    <w:uiPriority w:val="99"/>
    <w:rsid w:val="001A6607"/>
    <w:pPr>
      <w:spacing w:before="100" w:beforeAutospacing="1" w:after="100" w:afterAutospacing="1" w:line="240" w:lineRule="auto"/>
    </w:pPr>
    <w:rPr>
      <w:rFonts w:cs="Arial"/>
      <w:sz w:val="18"/>
      <w:szCs w:val="18"/>
      <w:lang w:val="es-ES" w:eastAsia="es-ES"/>
    </w:rPr>
  </w:style>
  <w:style w:type="character" w:styleId="Refdecomentario">
    <w:name w:val="annotation reference"/>
    <w:uiPriority w:val="99"/>
    <w:rsid w:val="006549C2"/>
    <w:rPr>
      <w:sz w:val="16"/>
      <w:szCs w:val="16"/>
    </w:rPr>
  </w:style>
  <w:style w:type="paragraph" w:styleId="Textocomentario">
    <w:name w:val="annotation text"/>
    <w:basedOn w:val="Normal"/>
    <w:link w:val="TextocomentarioCar"/>
    <w:uiPriority w:val="99"/>
    <w:rsid w:val="006549C2"/>
    <w:rPr>
      <w:sz w:val="20"/>
    </w:rPr>
  </w:style>
  <w:style w:type="character" w:customStyle="1" w:styleId="TextocomentarioCar">
    <w:name w:val="Texto comentario Car"/>
    <w:link w:val="Textocomentario"/>
    <w:uiPriority w:val="99"/>
    <w:rsid w:val="006549C2"/>
    <w:rPr>
      <w:rFonts w:ascii="Arial" w:hAnsi="Arial"/>
      <w:color w:val="000000"/>
      <w:lang w:val="it-IT" w:eastAsia="it-IT"/>
    </w:rPr>
  </w:style>
  <w:style w:type="paragraph" w:styleId="Asuntodelcomentario">
    <w:name w:val="annotation subject"/>
    <w:basedOn w:val="Textocomentario"/>
    <w:next w:val="Textocomentario"/>
    <w:link w:val="AsuntodelcomentarioCar"/>
    <w:rsid w:val="006549C2"/>
    <w:rPr>
      <w:b/>
      <w:bCs/>
    </w:rPr>
  </w:style>
  <w:style w:type="character" w:customStyle="1" w:styleId="AsuntodelcomentarioCar">
    <w:name w:val="Asunto del comentario Car"/>
    <w:link w:val="Asuntodelcomentario"/>
    <w:rsid w:val="006549C2"/>
    <w:rPr>
      <w:rFonts w:ascii="Arial" w:hAnsi="Arial"/>
      <w:b/>
      <w:bCs/>
      <w:color w:val="000000"/>
      <w:lang w:val="it-IT" w:eastAsia="it-IT"/>
    </w:rPr>
  </w:style>
  <w:style w:type="paragraph" w:styleId="Textodeglobo">
    <w:name w:val="Balloon Text"/>
    <w:basedOn w:val="Normal"/>
    <w:link w:val="TextodegloboCar"/>
    <w:rsid w:val="006549C2"/>
    <w:pPr>
      <w:spacing w:line="240" w:lineRule="auto"/>
    </w:pPr>
    <w:rPr>
      <w:rFonts w:ascii="Tahoma" w:hAnsi="Tahoma"/>
      <w:sz w:val="16"/>
      <w:szCs w:val="16"/>
    </w:rPr>
  </w:style>
  <w:style w:type="character" w:customStyle="1" w:styleId="TextodegloboCar">
    <w:name w:val="Texto de globo Car"/>
    <w:link w:val="Textodeglobo"/>
    <w:rsid w:val="006549C2"/>
    <w:rPr>
      <w:rFonts w:ascii="Tahoma" w:hAnsi="Tahoma" w:cs="Tahoma"/>
      <w:color w:val="000000"/>
      <w:sz w:val="16"/>
      <w:szCs w:val="16"/>
      <w:lang w:val="it-IT" w:eastAsia="it-IT"/>
    </w:rPr>
  </w:style>
  <w:style w:type="character" w:styleId="Textoennegrita">
    <w:name w:val="Strong"/>
    <w:uiPriority w:val="22"/>
    <w:qFormat/>
    <w:rsid w:val="00654266"/>
    <w:rPr>
      <w:b/>
      <w:bCs/>
    </w:rPr>
  </w:style>
  <w:style w:type="character" w:styleId="Hipervnculovisitado">
    <w:name w:val="FollowedHyperlink"/>
    <w:rsid w:val="003C1A58"/>
    <w:rPr>
      <w:color w:val="800080"/>
      <w:u w:val="single"/>
    </w:rPr>
  </w:style>
  <w:style w:type="paragraph" w:styleId="Prrafodelista">
    <w:name w:val="List Paragraph"/>
    <w:basedOn w:val="Normal"/>
    <w:uiPriority w:val="72"/>
    <w:rsid w:val="003B68E3"/>
    <w:pPr>
      <w:ind w:left="720"/>
      <w:contextualSpacing/>
    </w:pPr>
  </w:style>
  <w:style w:type="paragraph" w:customStyle="1" w:styleId="ListParagraph1">
    <w:name w:val="List Paragraph1"/>
    <w:basedOn w:val="Normal"/>
    <w:rsid w:val="0046565A"/>
    <w:pPr>
      <w:spacing w:line="240" w:lineRule="auto"/>
      <w:ind w:left="720"/>
      <w:contextualSpacing/>
    </w:pPr>
    <w:rPr>
      <w:rFonts w:ascii="Gill Sans" w:eastAsia="SimSun" w:hAnsi="Gill Sans"/>
      <w:color w:val="auto"/>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848">
      <w:bodyDiv w:val="1"/>
      <w:marLeft w:val="0"/>
      <w:marRight w:val="0"/>
      <w:marTop w:val="0"/>
      <w:marBottom w:val="0"/>
      <w:divBdr>
        <w:top w:val="none" w:sz="0" w:space="0" w:color="auto"/>
        <w:left w:val="none" w:sz="0" w:space="0" w:color="auto"/>
        <w:bottom w:val="none" w:sz="0" w:space="0" w:color="auto"/>
        <w:right w:val="none" w:sz="0" w:space="0" w:color="auto"/>
      </w:divBdr>
    </w:div>
    <w:div w:id="328561048">
      <w:bodyDiv w:val="1"/>
      <w:marLeft w:val="0"/>
      <w:marRight w:val="0"/>
      <w:marTop w:val="0"/>
      <w:marBottom w:val="0"/>
      <w:divBdr>
        <w:top w:val="none" w:sz="0" w:space="0" w:color="auto"/>
        <w:left w:val="none" w:sz="0" w:space="0" w:color="auto"/>
        <w:bottom w:val="none" w:sz="0" w:space="0" w:color="auto"/>
        <w:right w:val="none" w:sz="0" w:space="0" w:color="auto"/>
      </w:divBdr>
    </w:div>
    <w:div w:id="543448060">
      <w:bodyDiv w:val="1"/>
      <w:marLeft w:val="0"/>
      <w:marRight w:val="0"/>
      <w:marTop w:val="0"/>
      <w:marBottom w:val="0"/>
      <w:divBdr>
        <w:top w:val="none" w:sz="0" w:space="0" w:color="auto"/>
        <w:left w:val="none" w:sz="0" w:space="0" w:color="auto"/>
        <w:bottom w:val="none" w:sz="0" w:space="0" w:color="auto"/>
        <w:right w:val="none" w:sz="0" w:space="0" w:color="auto"/>
      </w:divBdr>
    </w:div>
    <w:div w:id="1180007741">
      <w:bodyDiv w:val="1"/>
      <w:marLeft w:val="0"/>
      <w:marRight w:val="0"/>
      <w:marTop w:val="0"/>
      <w:marBottom w:val="0"/>
      <w:divBdr>
        <w:top w:val="none" w:sz="0" w:space="0" w:color="auto"/>
        <w:left w:val="none" w:sz="0" w:space="0" w:color="auto"/>
        <w:bottom w:val="none" w:sz="0" w:space="0" w:color="auto"/>
        <w:right w:val="none" w:sz="0" w:space="0" w:color="auto"/>
      </w:divBdr>
    </w:div>
    <w:div w:id="1257859622">
      <w:bodyDiv w:val="1"/>
      <w:marLeft w:val="0"/>
      <w:marRight w:val="0"/>
      <w:marTop w:val="0"/>
      <w:marBottom w:val="0"/>
      <w:divBdr>
        <w:top w:val="none" w:sz="0" w:space="0" w:color="auto"/>
        <w:left w:val="none" w:sz="0" w:space="0" w:color="auto"/>
        <w:bottom w:val="none" w:sz="0" w:space="0" w:color="auto"/>
        <w:right w:val="none" w:sz="0" w:space="0" w:color="auto"/>
      </w:divBdr>
    </w:div>
    <w:div w:id="1264191670">
      <w:bodyDiv w:val="1"/>
      <w:marLeft w:val="0"/>
      <w:marRight w:val="0"/>
      <w:marTop w:val="0"/>
      <w:marBottom w:val="0"/>
      <w:divBdr>
        <w:top w:val="none" w:sz="0" w:space="0" w:color="auto"/>
        <w:left w:val="none" w:sz="0" w:space="0" w:color="auto"/>
        <w:bottom w:val="none" w:sz="0" w:space="0" w:color="auto"/>
        <w:right w:val="none" w:sz="0" w:space="0" w:color="auto"/>
      </w:divBdr>
    </w:div>
    <w:div w:id="1371497141">
      <w:bodyDiv w:val="1"/>
      <w:marLeft w:val="0"/>
      <w:marRight w:val="0"/>
      <w:marTop w:val="0"/>
      <w:marBottom w:val="0"/>
      <w:divBdr>
        <w:top w:val="none" w:sz="0" w:space="0" w:color="auto"/>
        <w:left w:val="none" w:sz="0" w:space="0" w:color="auto"/>
        <w:bottom w:val="none" w:sz="0" w:space="0" w:color="auto"/>
        <w:right w:val="none" w:sz="0" w:space="0" w:color="auto"/>
      </w:divBdr>
    </w:div>
    <w:div w:id="1456215888">
      <w:bodyDiv w:val="1"/>
      <w:marLeft w:val="0"/>
      <w:marRight w:val="0"/>
      <w:marTop w:val="0"/>
      <w:marBottom w:val="0"/>
      <w:divBdr>
        <w:top w:val="none" w:sz="0" w:space="0" w:color="auto"/>
        <w:left w:val="none" w:sz="0" w:space="0" w:color="auto"/>
        <w:bottom w:val="none" w:sz="0" w:space="0" w:color="auto"/>
        <w:right w:val="none" w:sz="0" w:space="0" w:color="auto"/>
      </w:divBdr>
    </w:div>
    <w:div w:id="1506626757">
      <w:bodyDiv w:val="1"/>
      <w:marLeft w:val="0"/>
      <w:marRight w:val="0"/>
      <w:marTop w:val="0"/>
      <w:marBottom w:val="0"/>
      <w:divBdr>
        <w:top w:val="none" w:sz="0" w:space="0" w:color="auto"/>
        <w:left w:val="none" w:sz="0" w:space="0" w:color="auto"/>
        <w:bottom w:val="none" w:sz="0" w:space="0" w:color="auto"/>
        <w:right w:val="none" w:sz="0" w:space="0" w:color="auto"/>
      </w:divBdr>
    </w:div>
    <w:div w:id="1706905354">
      <w:bodyDiv w:val="1"/>
      <w:marLeft w:val="0"/>
      <w:marRight w:val="0"/>
      <w:marTop w:val="0"/>
      <w:marBottom w:val="0"/>
      <w:divBdr>
        <w:top w:val="none" w:sz="0" w:space="0" w:color="auto"/>
        <w:left w:val="none" w:sz="0" w:space="0" w:color="auto"/>
        <w:bottom w:val="none" w:sz="0" w:space="0" w:color="auto"/>
        <w:right w:val="none" w:sz="0" w:space="0" w:color="auto"/>
      </w:divBdr>
    </w:div>
    <w:div w:id="18839037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casece" TargetMode="External"/><Relationship Id="rId18" Type="http://schemas.openxmlformats.org/officeDocument/2006/relationships/image" Target="cid:image003.gif@01D123A8.097F989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cid:image004.gif@01D123A8.097F9890"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user/Caseatwork"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caseconstructionequipment.espana" TargetMode="External"/><Relationship Id="rId24" Type="http://schemas.openxmlformats.org/officeDocument/2006/relationships/hyperlink" Target="mailto:nmarti@alarconyharris.com" TargetMode="External"/><Relationship Id="rId5" Type="http://schemas.openxmlformats.org/officeDocument/2006/relationships/settings" Target="settings.xml"/><Relationship Id="rId15" Type="http://schemas.openxmlformats.org/officeDocument/2006/relationships/image" Target="cid:image002.gif@01D123A8.097F9890" TargetMode="External"/><Relationship Id="rId23" Type="http://schemas.openxmlformats.org/officeDocument/2006/relationships/hyperlink" Target="http://www.cnhindustrial.com" TargetMode="External"/><Relationship Id="rId28" Type="http://schemas.openxmlformats.org/officeDocument/2006/relationships/footer" Target="footer2.xml"/><Relationship Id="rId10" Type="http://schemas.openxmlformats.org/officeDocument/2006/relationships/hyperlink" Target="https://www.facebook.com/caseconstructionequipment" TargetMode="External"/><Relationship Id="rId19" Type="http://schemas.openxmlformats.org/officeDocument/2006/relationships/hyperlink" Target="https://www.linkedin.com/company/case-construction-equipment" TargetMode="External"/><Relationship Id="rId4" Type="http://schemas.microsoft.com/office/2007/relationships/stylesWithEffects" Target="stylesWithEffects.xml"/><Relationship Id="rId9" Type="http://schemas.openxmlformats.org/officeDocument/2006/relationships/hyperlink" Target="http://www.casecetools.com/press-kit" TargetMode="External"/><Relationship Id="rId14" Type="http://schemas.openxmlformats.org/officeDocument/2006/relationships/image" Target="media/image2.png"/><Relationship Id="rId22" Type="http://schemas.openxmlformats.org/officeDocument/2006/relationships/hyperlink" Target="http://www.casece.co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a\AppData\Local\Microsoft\Windows\Temporary%20Internet%20Files\Content.Outlook\3POTRISZ\Case_Pres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63CFB-FF7D-4119-B5A6-6C6D814F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Case_PressRelease</Template>
  <TotalTime>11</TotalTime>
  <Pages>3</Pages>
  <Words>750</Words>
  <Characters>4130</Characters>
  <Application>Microsoft Office Word</Application>
  <DocSecurity>0</DocSecurity>
  <Lines>34</Lines>
  <Paragraphs>9</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CNH INDUSTRIAL</vt:lpstr>
      <vt:lpstr>CNH INDUSTRIAL</vt:lpstr>
      <vt:lpstr>CNH INDUSTRIAL</vt:lpstr>
    </vt:vector>
  </TitlesOfParts>
  <Company>CNH Industrial</Company>
  <LinksUpToDate>false</LinksUpToDate>
  <CharactersWithSpaces>4871</CharactersWithSpaces>
  <SharedDoc>false</SharedDoc>
  <HyperlinkBase/>
  <HLinks>
    <vt:vector size="24" baseType="variant">
      <vt:variant>
        <vt:i4>524318</vt:i4>
      </vt:variant>
      <vt:variant>
        <vt:i4>9</vt:i4>
      </vt:variant>
      <vt:variant>
        <vt:i4>0</vt:i4>
      </vt:variant>
      <vt:variant>
        <vt:i4>5</vt:i4>
      </vt:variant>
      <vt:variant>
        <vt:lpwstr>mailto:lynn@tlcpr.co.uk</vt:lpwstr>
      </vt:variant>
      <vt:variant>
        <vt:lpwstr/>
      </vt:variant>
      <vt:variant>
        <vt:i4>4456466</vt:i4>
      </vt:variant>
      <vt:variant>
        <vt:i4>6</vt:i4>
      </vt:variant>
      <vt:variant>
        <vt:i4>0</vt:i4>
      </vt:variant>
      <vt:variant>
        <vt:i4>5</vt:i4>
      </vt:variant>
      <vt:variant>
        <vt:lpwstr>http://www.cnhindustrial.com</vt:lpwstr>
      </vt:variant>
      <vt:variant>
        <vt:lpwstr/>
      </vt:variant>
      <vt:variant>
        <vt:i4>1638463</vt:i4>
      </vt:variant>
      <vt:variant>
        <vt:i4>3</vt:i4>
      </vt:variant>
      <vt:variant>
        <vt:i4>0</vt:i4>
      </vt:variant>
      <vt:variant>
        <vt:i4>5</vt:i4>
      </vt:variant>
      <vt:variant>
        <vt:lpwstr>http://www.CASEce.com</vt:lpwstr>
      </vt:variant>
      <vt:variant>
        <vt:lpwstr/>
      </vt:variant>
      <vt:variant>
        <vt:i4>4653081</vt:i4>
      </vt:variant>
      <vt:variant>
        <vt:i4>0</vt:i4>
      </vt:variant>
      <vt:variant>
        <vt:i4>0</vt:i4>
      </vt:variant>
      <vt:variant>
        <vt:i4>5</vt:i4>
      </vt:variant>
      <vt:variant>
        <vt:lpwstr>http://www.casecetools.com/press-kit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Silvia Ortiz</dc:creator>
  <cp:lastModifiedBy>Usuario</cp:lastModifiedBy>
  <cp:revision>7</cp:revision>
  <cp:lastPrinted>2013-10-09T08:28:00Z</cp:lastPrinted>
  <dcterms:created xsi:type="dcterms:W3CDTF">2016-03-14T08:44:00Z</dcterms:created>
  <dcterms:modified xsi:type="dcterms:W3CDTF">2016-03-23T11:31:00Z</dcterms:modified>
</cp:coreProperties>
</file>